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1E33F14E" w:rsidR="004F4425" w:rsidRPr="00533A5B" w:rsidRDefault="004F4425" w:rsidP="00A564F4">
      <w:pPr>
        <w:pStyle w:val="a3"/>
        <w:tabs>
          <w:tab w:val="right" w:pos="9923"/>
        </w:tabs>
        <w:ind w:right="-7"/>
        <w:rPr>
          <w:rFonts w:asciiTheme="minorHAnsi" w:hAnsiTheme="minorHAnsi" w:cstheme="minorHAnsi"/>
          <w:bCs/>
          <w:i/>
          <w:noProof w:val="0"/>
          <w:sz w:val="32"/>
          <w:lang w:eastAsia="ja-JP"/>
        </w:rPr>
      </w:pPr>
      <w:r w:rsidRPr="00533A5B">
        <w:rPr>
          <w:rFonts w:asciiTheme="minorHAnsi" w:hAnsiTheme="minorHAnsi" w:cstheme="minorHAnsi"/>
          <w:bCs/>
          <w:noProof w:val="0"/>
          <w:sz w:val="24"/>
        </w:rPr>
        <w:t>3GPP T</w:t>
      </w:r>
      <w:bookmarkStart w:id="0" w:name="_Ref452454252"/>
      <w:bookmarkEnd w:id="0"/>
      <w:r w:rsidRPr="00533A5B">
        <w:rPr>
          <w:rFonts w:asciiTheme="minorHAnsi" w:hAnsiTheme="minorHAnsi" w:cstheme="minorHAnsi"/>
          <w:bCs/>
          <w:noProof w:val="0"/>
          <w:sz w:val="24"/>
        </w:rPr>
        <w:t>SG-</w:t>
      </w:r>
      <w:r w:rsidRPr="00533A5B">
        <w:rPr>
          <w:rFonts w:asciiTheme="minorHAnsi" w:hAnsiTheme="minorHAnsi" w:cstheme="minorHAnsi"/>
          <w:bCs/>
          <w:noProof w:val="0"/>
          <w:sz w:val="24"/>
          <w:szCs w:val="24"/>
        </w:rPr>
        <w:t xml:space="preserve">RAN </w:t>
      </w:r>
      <w:r w:rsidRPr="00533A5B">
        <w:rPr>
          <w:rFonts w:asciiTheme="minorHAnsi" w:hAnsiTheme="minorHAnsi" w:cstheme="minorHAnsi"/>
          <w:noProof w:val="0"/>
          <w:sz w:val="24"/>
          <w:szCs w:val="24"/>
        </w:rPr>
        <w:t>WG3 Meeting #</w:t>
      </w:r>
      <w:r w:rsidR="00E5568E" w:rsidRPr="00533A5B">
        <w:rPr>
          <w:rFonts w:asciiTheme="minorHAnsi" w:hAnsiTheme="minorHAnsi" w:cstheme="minorHAnsi"/>
          <w:noProof w:val="0"/>
          <w:sz w:val="24"/>
          <w:szCs w:val="24"/>
        </w:rPr>
        <w:t>1</w:t>
      </w:r>
      <w:r w:rsidR="00A564F4" w:rsidRPr="00533A5B">
        <w:rPr>
          <w:rFonts w:asciiTheme="minorHAnsi" w:hAnsiTheme="minorHAnsi" w:cstheme="minorHAnsi"/>
          <w:noProof w:val="0"/>
          <w:sz w:val="24"/>
          <w:szCs w:val="24"/>
        </w:rPr>
        <w:t xml:space="preserve">20     </w:t>
      </w:r>
      <w:r w:rsidR="00A564F4" w:rsidRPr="00533A5B">
        <w:rPr>
          <w:rFonts w:asciiTheme="minorHAnsi" w:hAnsiTheme="minorHAnsi" w:cstheme="minorHAnsi"/>
          <w:noProof w:val="0"/>
          <w:sz w:val="24"/>
          <w:szCs w:val="24"/>
        </w:rPr>
        <w:tab/>
      </w:r>
      <w:r w:rsidR="00533A5B" w:rsidRPr="00533A5B">
        <w:rPr>
          <w:rFonts w:asciiTheme="minorHAnsi" w:hAnsiTheme="minorHAnsi" w:cstheme="minorHAnsi"/>
          <w:noProof w:val="0"/>
          <w:sz w:val="24"/>
          <w:szCs w:val="24"/>
        </w:rPr>
        <w:t>R3-232736</w:t>
      </w:r>
    </w:p>
    <w:p w14:paraId="7F63DDCA" w14:textId="44E41744" w:rsidR="00B102D8" w:rsidRPr="00533A5B" w:rsidRDefault="00B102D8" w:rsidP="00B102D8">
      <w:pPr>
        <w:tabs>
          <w:tab w:val="center" w:pos="4153"/>
          <w:tab w:val="right" w:pos="8306"/>
        </w:tabs>
        <w:spacing w:after="0"/>
        <w:jc w:val="both"/>
        <w:rPr>
          <w:rFonts w:asciiTheme="minorHAnsi" w:eastAsia="Times New Roman" w:hAnsiTheme="minorHAnsi" w:cstheme="minorHAnsi"/>
          <w:b/>
          <w:bCs/>
          <w:sz w:val="24"/>
          <w:szCs w:val="24"/>
          <w:lang w:val="en-US" w:eastAsia="zh-CN"/>
        </w:rPr>
      </w:pPr>
      <w:r w:rsidRPr="00533A5B">
        <w:rPr>
          <w:rFonts w:asciiTheme="minorHAnsi" w:eastAsia="宋体" w:hAnsiTheme="minorHAnsi" w:cstheme="minorHAnsi"/>
          <w:b/>
          <w:sz w:val="24"/>
          <w:lang w:val="en-US" w:eastAsia="zh-CN"/>
        </w:rPr>
        <w:t xml:space="preserve">Incheon, </w:t>
      </w:r>
      <w:r w:rsidR="00BE2078" w:rsidRPr="00533A5B">
        <w:rPr>
          <w:rFonts w:asciiTheme="minorHAnsi" w:eastAsia="宋体" w:hAnsiTheme="minorHAnsi" w:cstheme="minorHAnsi"/>
          <w:b/>
          <w:sz w:val="24"/>
          <w:lang w:val="en-US" w:eastAsia="zh-CN"/>
        </w:rPr>
        <w:t>Korea</w:t>
      </w:r>
      <w:r w:rsidRPr="00533A5B">
        <w:rPr>
          <w:rFonts w:asciiTheme="minorHAnsi" w:eastAsia="宋体" w:hAnsiTheme="minorHAnsi" w:cstheme="minorHAnsi"/>
          <w:b/>
          <w:sz w:val="24"/>
          <w:lang w:val="en-US" w:eastAsia="zh-CN"/>
        </w:rPr>
        <w:t>, May 22-26, 2023</w:t>
      </w:r>
    </w:p>
    <w:p w14:paraId="0C4B67AF" w14:textId="77777777" w:rsidR="00501135" w:rsidRPr="00533A5B" w:rsidRDefault="00501135">
      <w:pPr>
        <w:pStyle w:val="a3"/>
        <w:rPr>
          <w:rFonts w:asciiTheme="minorHAnsi" w:hAnsiTheme="minorHAnsi" w:cstheme="minorHAnsi"/>
          <w:bCs/>
          <w:noProof w:val="0"/>
          <w:sz w:val="24"/>
          <w:lang w:val="en-GB" w:eastAsia="ja-JP"/>
        </w:rPr>
      </w:pPr>
    </w:p>
    <w:p w14:paraId="43D56084" w14:textId="349DC15A" w:rsidR="00501135" w:rsidRPr="00533A5B" w:rsidRDefault="008A4C1D">
      <w:pPr>
        <w:pStyle w:val="CRCoverPage"/>
        <w:tabs>
          <w:tab w:val="left" w:pos="1985"/>
        </w:tabs>
        <w:rPr>
          <w:rFonts w:asciiTheme="minorHAnsi" w:hAnsiTheme="minorHAnsi" w:cstheme="minorHAnsi"/>
          <w:b/>
          <w:bCs/>
          <w:color w:val="000000"/>
          <w:sz w:val="24"/>
          <w:szCs w:val="24"/>
          <w:lang w:val="en-US" w:eastAsia="ja-JP"/>
        </w:rPr>
      </w:pPr>
      <w:r w:rsidRPr="00533A5B">
        <w:rPr>
          <w:rFonts w:asciiTheme="minorHAnsi" w:hAnsiTheme="minorHAnsi" w:cstheme="minorHAnsi"/>
          <w:b/>
          <w:bCs/>
          <w:color w:val="000000"/>
          <w:sz w:val="24"/>
          <w:szCs w:val="24"/>
          <w:lang w:val="en-US"/>
        </w:rPr>
        <w:t>Agenda I</w:t>
      </w:r>
      <w:r w:rsidR="00501135" w:rsidRPr="00533A5B">
        <w:rPr>
          <w:rFonts w:asciiTheme="minorHAnsi" w:hAnsiTheme="minorHAnsi" w:cstheme="minorHAnsi"/>
          <w:b/>
          <w:bCs/>
          <w:color w:val="000000"/>
          <w:sz w:val="24"/>
          <w:szCs w:val="24"/>
          <w:lang w:val="en-US"/>
        </w:rPr>
        <w:t>tem:</w:t>
      </w:r>
      <w:r w:rsidR="00501135" w:rsidRPr="00533A5B">
        <w:rPr>
          <w:rFonts w:asciiTheme="minorHAnsi" w:hAnsiTheme="minorHAnsi" w:cstheme="minorHAnsi"/>
          <w:b/>
          <w:bCs/>
          <w:color w:val="000000"/>
          <w:sz w:val="24"/>
          <w:szCs w:val="24"/>
          <w:lang w:val="en-US"/>
        </w:rPr>
        <w:tab/>
      </w:r>
      <w:r w:rsidR="00AF50D6" w:rsidRPr="00533A5B">
        <w:rPr>
          <w:rFonts w:asciiTheme="minorHAnsi" w:hAnsiTheme="minorHAnsi" w:cstheme="minorHAnsi"/>
          <w:b/>
          <w:bCs/>
          <w:color w:val="000000"/>
          <w:sz w:val="24"/>
          <w:szCs w:val="24"/>
          <w:lang w:val="en-US"/>
        </w:rPr>
        <w:t>10.2.1</w:t>
      </w:r>
    </w:p>
    <w:p w14:paraId="6BE48DC7" w14:textId="2CFB3C60" w:rsidR="00501135" w:rsidRPr="00533A5B" w:rsidRDefault="00501135" w:rsidP="00954330">
      <w:pPr>
        <w:tabs>
          <w:tab w:val="left" w:pos="1985"/>
        </w:tabs>
        <w:ind w:left="1985" w:hanging="1985"/>
        <w:rPr>
          <w:rFonts w:asciiTheme="minorHAnsi" w:hAnsiTheme="minorHAnsi" w:cstheme="minorHAnsi"/>
          <w:b/>
          <w:bCs/>
          <w:sz w:val="24"/>
          <w:lang w:val="en-US" w:eastAsia="ja-JP"/>
        </w:rPr>
      </w:pPr>
      <w:r w:rsidRPr="00533A5B">
        <w:rPr>
          <w:rFonts w:asciiTheme="minorHAnsi" w:hAnsiTheme="minorHAnsi" w:cstheme="minorHAnsi"/>
          <w:b/>
          <w:bCs/>
          <w:sz w:val="24"/>
          <w:lang w:val="en-US"/>
        </w:rPr>
        <w:t>Source:</w:t>
      </w:r>
      <w:r w:rsidRPr="00533A5B">
        <w:rPr>
          <w:rFonts w:asciiTheme="minorHAnsi" w:hAnsiTheme="minorHAnsi" w:cstheme="minorHAnsi"/>
          <w:b/>
          <w:bCs/>
          <w:sz w:val="24"/>
          <w:lang w:val="en-US"/>
        </w:rPr>
        <w:tab/>
      </w:r>
      <w:r w:rsidR="00F120DD" w:rsidRPr="00533A5B">
        <w:rPr>
          <w:rFonts w:asciiTheme="minorHAnsi" w:hAnsiTheme="minorHAnsi" w:cstheme="minorHAnsi"/>
          <w:b/>
          <w:bCs/>
          <w:sz w:val="24"/>
          <w:lang w:val="en-US"/>
        </w:rPr>
        <w:t>NEC</w:t>
      </w:r>
    </w:p>
    <w:p w14:paraId="3A2005BA" w14:textId="7045781F" w:rsidR="00501135" w:rsidRPr="00533A5B" w:rsidRDefault="00501135">
      <w:pPr>
        <w:ind w:left="1985" w:hanging="1985"/>
        <w:rPr>
          <w:rFonts w:asciiTheme="minorHAnsi" w:hAnsiTheme="minorHAnsi" w:cstheme="minorHAnsi"/>
          <w:b/>
          <w:color w:val="000000"/>
          <w:sz w:val="24"/>
          <w:szCs w:val="24"/>
          <w:lang w:val="en-US" w:eastAsia="ja-JP"/>
        </w:rPr>
      </w:pPr>
      <w:r w:rsidRPr="00533A5B">
        <w:rPr>
          <w:rFonts w:asciiTheme="minorHAnsi" w:hAnsiTheme="minorHAnsi" w:cstheme="minorHAnsi"/>
          <w:b/>
          <w:bCs/>
          <w:color w:val="000000"/>
          <w:sz w:val="24"/>
          <w:szCs w:val="24"/>
        </w:rPr>
        <w:t>Title:</w:t>
      </w:r>
      <w:r w:rsidRPr="00533A5B">
        <w:rPr>
          <w:rFonts w:asciiTheme="minorHAnsi" w:hAnsiTheme="minorHAnsi" w:cstheme="minorHAnsi"/>
          <w:b/>
          <w:bCs/>
          <w:color w:val="000000"/>
          <w:sz w:val="24"/>
          <w:szCs w:val="24"/>
        </w:rPr>
        <w:tab/>
      </w:r>
      <w:r w:rsidR="00BE2078" w:rsidRPr="00533A5B">
        <w:rPr>
          <w:rFonts w:asciiTheme="minorHAnsi" w:hAnsiTheme="minorHAnsi" w:cstheme="minorHAnsi"/>
          <w:b/>
          <w:bCs/>
          <w:sz w:val="24"/>
          <w:lang w:val="en-US"/>
        </w:rPr>
        <w:t>Discussion on remaining issue of inter-RAT SHR</w:t>
      </w:r>
    </w:p>
    <w:p w14:paraId="798882EA" w14:textId="32EFC9C3" w:rsidR="00501135" w:rsidRPr="00533A5B" w:rsidRDefault="00501135">
      <w:pPr>
        <w:ind w:left="1985" w:hanging="1985"/>
        <w:rPr>
          <w:rFonts w:asciiTheme="minorHAnsi" w:hAnsiTheme="minorHAnsi" w:cstheme="minorHAnsi"/>
          <w:b/>
          <w:bCs/>
          <w:sz w:val="24"/>
          <w:szCs w:val="24"/>
          <w:lang w:eastAsia="ja-JP"/>
        </w:rPr>
      </w:pPr>
      <w:r w:rsidRPr="00533A5B">
        <w:rPr>
          <w:rFonts w:asciiTheme="minorHAnsi" w:hAnsiTheme="minorHAnsi" w:cstheme="minorHAnsi"/>
          <w:b/>
          <w:bCs/>
          <w:sz w:val="24"/>
          <w:szCs w:val="24"/>
        </w:rPr>
        <w:t>Document for:</w:t>
      </w:r>
      <w:r w:rsidRPr="00533A5B">
        <w:rPr>
          <w:rFonts w:asciiTheme="minorHAnsi" w:hAnsiTheme="minorHAnsi" w:cstheme="minorHAnsi"/>
          <w:b/>
          <w:bCs/>
          <w:sz w:val="24"/>
          <w:szCs w:val="24"/>
        </w:rPr>
        <w:tab/>
      </w:r>
      <w:r w:rsidR="000B7EE5" w:rsidRPr="00533A5B">
        <w:rPr>
          <w:rFonts w:asciiTheme="minorHAnsi" w:hAnsiTheme="minorHAnsi" w:cstheme="minorHAnsi"/>
          <w:b/>
          <w:bCs/>
          <w:sz w:val="24"/>
          <w:szCs w:val="24"/>
        </w:rPr>
        <w:t>Discussion and agreement</w:t>
      </w:r>
    </w:p>
    <w:p w14:paraId="05133CC1" w14:textId="77777777" w:rsidR="00501135" w:rsidRPr="004C20EC" w:rsidRDefault="00501135">
      <w:pPr>
        <w:pStyle w:val="1"/>
        <w:rPr>
          <w:rFonts w:asciiTheme="minorHAnsi" w:hAnsiTheme="minorHAnsi" w:cstheme="minorHAnsi"/>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bookmarkStart w:id="8" w:name="_Toc126137453"/>
      <w:bookmarkStart w:id="9" w:name="_Toc126137557"/>
      <w:r w:rsidRPr="004C20EC">
        <w:rPr>
          <w:rFonts w:asciiTheme="minorHAnsi" w:hAnsiTheme="minorHAnsi" w:cstheme="minorHAnsi"/>
        </w:rPr>
        <w:t>1</w:t>
      </w:r>
      <w:r w:rsidRPr="004C20EC">
        <w:rPr>
          <w:rFonts w:asciiTheme="minorHAnsi" w:hAnsiTheme="minorHAnsi" w:cstheme="minorHAnsi"/>
        </w:rPr>
        <w:tab/>
        <w:t>Introduction</w:t>
      </w:r>
      <w:bookmarkEnd w:id="1"/>
      <w:bookmarkEnd w:id="2"/>
      <w:bookmarkEnd w:id="3"/>
      <w:bookmarkEnd w:id="4"/>
      <w:bookmarkEnd w:id="5"/>
      <w:bookmarkEnd w:id="6"/>
      <w:bookmarkEnd w:id="7"/>
      <w:bookmarkEnd w:id="8"/>
      <w:bookmarkEnd w:id="9"/>
    </w:p>
    <w:p w14:paraId="4E5E48EA" w14:textId="79954002" w:rsidR="007D02E1" w:rsidRPr="00783749" w:rsidRDefault="002B0CFE" w:rsidP="00783749">
      <w:pPr>
        <w:jc w:val="both"/>
        <w:rPr>
          <w:rFonts w:asciiTheme="minorHAnsi" w:hAnsiTheme="minorHAnsi" w:cstheme="minorHAnsi"/>
        </w:rPr>
      </w:pPr>
      <w:r w:rsidRPr="00783749">
        <w:rPr>
          <w:rFonts w:asciiTheme="minorHAnsi" w:eastAsiaTheme="minorEastAsia" w:hAnsiTheme="minorHAnsi" w:cstheme="minorHAnsi"/>
          <w:lang w:eastAsia="zh-CN"/>
        </w:rPr>
        <w:t>Du</w:t>
      </w:r>
      <w:r w:rsidRPr="00783749">
        <w:rPr>
          <w:rFonts w:asciiTheme="minorHAnsi" w:hAnsiTheme="minorHAnsi" w:cstheme="minorHAnsi"/>
        </w:rPr>
        <w:t>ring the previous meeting, it has been agreed that</w:t>
      </w:r>
    </w:p>
    <w:tbl>
      <w:tblPr>
        <w:tblStyle w:val="af4"/>
        <w:tblW w:w="0" w:type="auto"/>
        <w:tblLook w:val="04A0" w:firstRow="1" w:lastRow="0" w:firstColumn="1" w:lastColumn="0" w:noHBand="0" w:noVBand="1"/>
      </w:tblPr>
      <w:tblGrid>
        <w:gridCol w:w="9962"/>
      </w:tblGrid>
      <w:tr w:rsidR="002B0CFE" w:rsidRPr="00783749" w14:paraId="7190D09E" w14:textId="77777777" w:rsidTr="002B0CFE">
        <w:tc>
          <w:tcPr>
            <w:tcW w:w="9962" w:type="dxa"/>
          </w:tcPr>
          <w:p w14:paraId="5DF088A8" w14:textId="77777777" w:rsidR="005C5893" w:rsidRPr="005C5893" w:rsidRDefault="005C5893" w:rsidP="005C5893">
            <w:pPr>
              <w:rPr>
                <w:rFonts w:ascii="Calibri" w:hAnsi="Calibri" w:cs="Calibri"/>
                <w:i/>
                <w:color w:val="FF0000"/>
                <w:kern w:val="2"/>
                <w:sz w:val="18"/>
                <w:szCs w:val="16"/>
                <w:u w:val="single"/>
              </w:rPr>
            </w:pPr>
            <w:r w:rsidRPr="005C5893">
              <w:rPr>
                <w:rFonts w:ascii="Calibri" w:hAnsi="Calibri" w:cs="Calibri"/>
                <w:i/>
                <w:color w:val="FF0000"/>
                <w:kern w:val="2"/>
                <w:sz w:val="18"/>
                <w:szCs w:val="16"/>
                <w:u w:val="single"/>
              </w:rPr>
              <w:t>Inter-RAT SHR</w:t>
            </w:r>
          </w:p>
          <w:p w14:paraId="6FB78C3D" w14:textId="77777777" w:rsidR="005C5893" w:rsidRPr="005C5893" w:rsidRDefault="005C5893" w:rsidP="005C5893">
            <w:pPr>
              <w:rPr>
                <w:rFonts w:ascii="Calibri" w:hAnsi="Calibri" w:cs="Calibri"/>
                <w:i/>
                <w:iCs/>
                <w:color w:val="00B050"/>
                <w:kern w:val="2"/>
                <w:sz w:val="18"/>
                <w:szCs w:val="16"/>
              </w:rPr>
            </w:pPr>
            <w:r w:rsidRPr="005C5893">
              <w:rPr>
                <w:rFonts w:ascii="Calibri" w:hAnsi="Calibri" w:cs="Calibri"/>
                <w:i/>
                <w:iCs/>
                <w:color w:val="00B050"/>
                <w:kern w:val="2"/>
                <w:sz w:val="18"/>
                <w:szCs w:val="16"/>
              </w:rPr>
              <w:t>T310 and T312 related triggers are to be considered for inter-RAT SHR from NR to LTE.</w:t>
            </w:r>
          </w:p>
          <w:p w14:paraId="6F8BFFFC" w14:textId="77777777" w:rsidR="005C5893" w:rsidRPr="005C5893" w:rsidRDefault="005C5893" w:rsidP="005C5893">
            <w:pPr>
              <w:rPr>
                <w:rFonts w:ascii="Calibri" w:hAnsi="Calibri" w:cs="Calibri"/>
                <w:i/>
                <w:iCs/>
                <w:color w:val="00B050"/>
                <w:kern w:val="2"/>
                <w:sz w:val="18"/>
                <w:szCs w:val="16"/>
              </w:rPr>
            </w:pPr>
            <w:r w:rsidRPr="005C5893">
              <w:rPr>
                <w:rFonts w:ascii="Calibri" w:hAnsi="Calibri" w:cs="Calibri"/>
                <w:i/>
                <w:iCs/>
                <w:color w:val="00B050"/>
                <w:kern w:val="2"/>
                <w:sz w:val="18"/>
                <w:szCs w:val="16"/>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68E86240" w14:textId="77777777" w:rsidR="005C5893" w:rsidRPr="005C5893" w:rsidRDefault="005C5893" w:rsidP="005C5893">
            <w:pPr>
              <w:pStyle w:val="40"/>
              <w:spacing w:after="160" w:line="254" w:lineRule="auto"/>
              <w:rPr>
                <w:rFonts w:ascii="Calibri" w:eastAsia="MS Mincho" w:hAnsi="Calibri" w:cs="Calibri"/>
                <w:i/>
                <w:iCs/>
                <w:color w:val="00B050"/>
                <w:kern w:val="2"/>
                <w:sz w:val="18"/>
                <w:szCs w:val="16"/>
              </w:rPr>
            </w:pPr>
            <w:r w:rsidRPr="005C5893">
              <w:rPr>
                <w:rFonts w:ascii="Calibri" w:eastAsia="MS Mincho" w:hAnsi="Calibri" w:cs="Calibri"/>
                <w:i/>
                <w:iCs/>
                <w:color w:val="00B050"/>
                <w:kern w:val="2"/>
                <w:sz w:val="18"/>
                <w:szCs w:val="16"/>
              </w:rPr>
              <w:t>Source NR cell information</w:t>
            </w:r>
          </w:p>
          <w:p w14:paraId="360E2D42" w14:textId="77777777" w:rsidR="005C5893" w:rsidRPr="005C5893" w:rsidRDefault="005C5893" w:rsidP="005C5893">
            <w:pPr>
              <w:pStyle w:val="40"/>
              <w:spacing w:after="160" w:line="254" w:lineRule="auto"/>
              <w:rPr>
                <w:rFonts w:ascii="Calibri" w:eastAsia="MS Mincho" w:hAnsi="Calibri" w:cs="Calibri"/>
                <w:i/>
                <w:iCs/>
                <w:color w:val="00B050"/>
                <w:kern w:val="2"/>
                <w:sz w:val="18"/>
                <w:szCs w:val="16"/>
              </w:rPr>
            </w:pPr>
            <w:r w:rsidRPr="005C5893">
              <w:rPr>
                <w:rFonts w:ascii="Calibri" w:eastAsia="MS Mincho" w:hAnsi="Calibri" w:cs="Calibri"/>
                <w:i/>
                <w:iCs/>
                <w:color w:val="00B050"/>
                <w:kern w:val="2"/>
                <w:sz w:val="18"/>
                <w:szCs w:val="16"/>
              </w:rPr>
              <w:t>Target LTE cell information</w:t>
            </w:r>
          </w:p>
          <w:p w14:paraId="58EB080E" w14:textId="77777777" w:rsidR="005C5893" w:rsidRPr="005C5893" w:rsidRDefault="005C5893" w:rsidP="005C5893">
            <w:pPr>
              <w:pStyle w:val="40"/>
              <w:spacing w:after="160" w:line="254" w:lineRule="auto"/>
              <w:rPr>
                <w:rFonts w:ascii="Calibri" w:eastAsia="MS Mincho" w:hAnsi="Calibri" w:cs="Calibri"/>
                <w:i/>
                <w:iCs/>
                <w:color w:val="00B050"/>
                <w:kern w:val="2"/>
                <w:sz w:val="18"/>
                <w:szCs w:val="16"/>
              </w:rPr>
            </w:pPr>
            <w:r w:rsidRPr="005C5893">
              <w:rPr>
                <w:rFonts w:ascii="Calibri" w:eastAsia="MS Mincho" w:hAnsi="Calibri" w:cs="Calibri"/>
                <w:i/>
                <w:iCs/>
                <w:color w:val="00B050"/>
                <w:kern w:val="2"/>
                <w:sz w:val="18"/>
                <w:szCs w:val="16"/>
              </w:rPr>
              <w:t xml:space="preserve">Measurement results for source, target and </w:t>
            </w:r>
            <w:proofErr w:type="spellStart"/>
            <w:r w:rsidRPr="005C5893">
              <w:rPr>
                <w:rFonts w:ascii="Calibri" w:eastAsia="MS Mincho" w:hAnsi="Calibri" w:cs="Calibri"/>
                <w:i/>
                <w:iCs/>
                <w:color w:val="00B050"/>
                <w:kern w:val="2"/>
                <w:sz w:val="18"/>
                <w:szCs w:val="16"/>
              </w:rPr>
              <w:t>neighbours</w:t>
            </w:r>
            <w:proofErr w:type="spellEnd"/>
          </w:p>
          <w:p w14:paraId="4BA0DB13" w14:textId="77777777" w:rsidR="005C5893" w:rsidRPr="005C5893" w:rsidRDefault="005C5893" w:rsidP="005C5893">
            <w:pPr>
              <w:pStyle w:val="40"/>
              <w:spacing w:after="160" w:line="254" w:lineRule="auto"/>
              <w:rPr>
                <w:rFonts w:ascii="Calibri" w:eastAsia="MS Mincho" w:hAnsi="Calibri" w:cs="Calibri"/>
                <w:i/>
                <w:iCs/>
                <w:color w:val="00B050"/>
                <w:kern w:val="2"/>
                <w:sz w:val="18"/>
                <w:szCs w:val="16"/>
              </w:rPr>
            </w:pPr>
            <w:r w:rsidRPr="005C5893">
              <w:rPr>
                <w:rFonts w:ascii="Calibri" w:eastAsia="MS Mincho" w:hAnsi="Calibri" w:cs="Calibri"/>
                <w:i/>
                <w:iCs/>
                <w:color w:val="00B050"/>
                <w:kern w:val="2"/>
                <w:sz w:val="18"/>
                <w:szCs w:val="16"/>
              </w:rPr>
              <w:t>Cause to indicate which inter-RAT SHR triggering condition was met</w:t>
            </w:r>
          </w:p>
          <w:p w14:paraId="75014782" w14:textId="77777777" w:rsidR="005C5893" w:rsidRPr="005C5893" w:rsidRDefault="005C5893" w:rsidP="005C5893">
            <w:pPr>
              <w:pStyle w:val="40"/>
              <w:spacing w:after="160" w:line="254" w:lineRule="auto"/>
              <w:rPr>
                <w:rFonts w:ascii="Calibri" w:hAnsi="Calibri" w:cs="Calibri"/>
                <w:i/>
                <w:iCs/>
                <w:color w:val="00B050"/>
                <w:kern w:val="2"/>
                <w:sz w:val="18"/>
                <w:szCs w:val="16"/>
              </w:rPr>
            </w:pPr>
            <w:r w:rsidRPr="005C5893">
              <w:rPr>
                <w:rFonts w:ascii="Calibri" w:hAnsi="Calibri" w:cs="Calibri"/>
                <w:i/>
                <w:iCs/>
                <w:color w:val="00B050"/>
                <w:kern w:val="2"/>
                <w:sz w:val="18"/>
                <w:szCs w:val="16"/>
              </w:rPr>
              <w:t>UE location Information</w:t>
            </w:r>
          </w:p>
          <w:p w14:paraId="4D213DBD" w14:textId="5D8A99DD" w:rsidR="005C5893" w:rsidRPr="005C5893" w:rsidRDefault="005C5893" w:rsidP="005C5893">
            <w:pPr>
              <w:rPr>
                <w:rFonts w:ascii="Calibri" w:hAnsi="Calibri" w:cs="Calibri"/>
                <w:i/>
                <w:iCs/>
                <w:color w:val="00B050"/>
                <w:kern w:val="2"/>
                <w:sz w:val="18"/>
                <w:szCs w:val="16"/>
              </w:rPr>
            </w:pPr>
            <w:r w:rsidRPr="005C5893">
              <w:rPr>
                <w:rFonts w:ascii="Calibri" w:hAnsi="Calibri" w:cs="Calibri"/>
                <w:i/>
                <w:iCs/>
                <w:color w:val="00B050"/>
                <w:kern w:val="2"/>
                <w:sz w:val="18"/>
                <w:szCs w:val="16"/>
              </w:rPr>
              <w:t xml:space="preserve">RAN3 thinks that all CHO related information in intra-NR SHR (e.g., time from CHO configuration to execution) is not applicable for inter-RAT SHR. </w:t>
            </w:r>
          </w:p>
          <w:p w14:paraId="6672E0D8" w14:textId="77777777" w:rsidR="005C5893" w:rsidRPr="005C5893" w:rsidRDefault="005C5893" w:rsidP="005C5893">
            <w:pPr>
              <w:rPr>
                <w:rFonts w:ascii="Calibri" w:hAnsi="Calibri" w:cs="Calibri"/>
                <w:i/>
                <w:color w:val="FF0000"/>
                <w:kern w:val="2"/>
                <w:sz w:val="18"/>
                <w:szCs w:val="16"/>
              </w:rPr>
            </w:pPr>
            <w:r w:rsidRPr="005C5893">
              <w:rPr>
                <w:rFonts w:ascii="Calibri" w:hAnsi="Calibri" w:cs="Calibri"/>
                <w:i/>
                <w:color w:val="FF0000"/>
                <w:kern w:val="2"/>
                <w:sz w:val="18"/>
                <w:szCs w:val="16"/>
                <w:u w:val="single"/>
              </w:rPr>
              <w:t>Inter-RAT SHR</w:t>
            </w:r>
          </w:p>
          <w:p w14:paraId="602899E1" w14:textId="77777777" w:rsidR="005C5893" w:rsidRPr="005C5893" w:rsidRDefault="005C5893" w:rsidP="005C5893">
            <w:pPr>
              <w:rPr>
                <w:rFonts w:ascii="Calibri" w:hAnsi="Calibri" w:cs="Calibri"/>
                <w:i/>
                <w:iCs/>
                <w:color w:val="00B050"/>
                <w:kern w:val="2"/>
                <w:sz w:val="18"/>
                <w:szCs w:val="16"/>
              </w:rPr>
            </w:pPr>
            <w:r w:rsidRPr="005C5893">
              <w:rPr>
                <w:rFonts w:ascii="Calibri" w:hAnsi="Calibri" w:cs="Calibri"/>
                <w:i/>
                <w:iCs/>
                <w:color w:val="00B050"/>
                <w:kern w:val="2"/>
                <w:sz w:val="18"/>
                <w:szCs w:val="16"/>
              </w:rPr>
              <w:t>WA: S</w:t>
            </w:r>
            <w:r w:rsidRPr="005C5893">
              <w:rPr>
                <w:rFonts w:ascii="Calibri" w:hAnsi="Calibri" w:cs="Calibri" w:hint="eastAsia"/>
                <w:i/>
                <w:iCs/>
                <w:color w:val="00B050"/>
                <w:kern w:val="2"/>
                <w:sz w:val="18"/>
                <w:szCs w:val="16"/>
              </w:rPr>
              <w:t>upport inter-RAT SHR from LTE to NR</w:t>
            </w:r>
            <w:r w:rsidRPr="005C5893">
              <w:rPr>
                <w:rFonts w:ascii="Calibri" w:hAnsi="Calibri" w:cs="Calibri"/>
                <w:i/>
                <w:iCs/>
                <w:color w:val="00B050"/>
                <w:kern w:val="2"/>
                <w:sz w:val="18"/>
                <w:szCs w:val="16"/>
              </w:rPr>
              <w:t xml:space="preserve"> at least for T304 if no impact on LTE.</w:t>
            </w:r>
          </w:p>
          <w:p w14:paraId="10A43DA9" w14:textId="77777777" w:rsidR="005C5893" w:rsidRPr="005C5893" w:rsidRDefault="005C5893" w:rsidP="005C5893">
            <w:pPr>
              <w:rPr>
                <w:rFonts w:ascii="Calibri" w:hAnsi="Calibri" w:cs="Calibri"/>
                <w:i/>
                <w:color w:val="FF0000"/>
                <w:kern w:val="2"/>
                <w:sz w:val="18"/>
                <w:szCs w:val="16"/>
              </w:rPr>
            </w:pPr>
            <w:r w:rsidRPr="005C5893">
              <w:rPr>
                <w:rFonts w:ascii="Calibri" w:hAnsi="Calibri" w:cs="Calibri"/>
                <w:i/>
                <w:color w:val="FF0000"/>
                <w:kern w:val="2"/>
                <w:sz w:val="18"/>
                <w:szCs w:val="16"/>
              </w:rPr>
              <w:t>WA: In R18, UE context retrieval in source Node is supported for inter-RAT SHR, the details are FFS.</w:t>
            </w:r>
          </w:p>
          <w:p w14:paraId="07DE259C" w14:textId="77777777" w:rsidR="005C5893" w:rsidRPr="005C5893" w:rsidRDefault="005C5893" w:rsidP="005C5893">
            <w:pPr>
              <w:rPr>
                <w:rFonts w:ascii="Calibri" w:hAnsi="Calibri" w:cs="Calibri"/>
                <w:i/>
                <w:color w:val="FF0000"/>
                <w:kern w:val="2"/>
                <w:sz w:val="18"/>
                <w:szCs w:val="16"/>
              </w:rPr>
            </w:pPr>
            <w:r w:rsidRPr="005C5893">
              <w:rPr>
                <w:rFonts w:ascii="Calibri" w:hAnsi="Calibri" w:cs="Calibri"/>
                <w:i/>
                <w:color w:val="FF0000"/>
                <w:kern w:val="2"/>
                <w:sz w:val="18"/>
                <w:szCs w:val="16"/>
              </w:rPr>
              <w:t>This WA does not limit to the forwarding mechanism.</w:t>
            </w:r>
          </w:p>
          <w:p w14:paraId="293DA1F5" w14:textId="221B018E" w:rsidR="005C5893" w:rsidRDefault="005C5893" w:rsidP="005C5893">
            <w:pPr>
              <w:rPr>
                <w:rFonts w:ascii="Calibri" w:hAnsi="Calibri" w:cs="Calibri"/>
                <w:i/>
                <w:iCs/>
                <w:color w:val="00B050"/>
                <w:kern w:val="2"/>
                <w:sz w:val="16"/>
                <w:szCs w:val="16"/>
              </w:rPr>
            </w:pPr>
          </w:p>
          <w:p w14:paraId="01176A93" w14:textId="13851246" w:rsidR="005C5893" w:rsidRPr="005C5893" w:rsidRDefault="005C5893" w:rsidP="005C5893">
            <w:pPr>
              <w:rPr>
                <w:rFonts w:ascii="Calibri" w:hAnsi="Calibri" w:cs="Calibri"/>
                <w:i/>
                <w:iCs/>
                <w:color w:val="FF0000"/>
                <w:kern w:val="2"/>
                <w:sz w:val="16"/>
                <w:szCs w:val="16"/>
              </w:rPr>
            </w:pPr>
            <w:r w:rsidRPr="005C5893">
              <w:rPr>
                <w:rFonts w:ascii="Calibri" w:hAnsi="Calibri" w:cs="Calibri"/>
                <w:iCs/>
                <w:color w:val="FF0000"/>
                <w:kern w:val="2"/>
                <w:sz w:val="16"/>
                <w:szCs w:val="16"/>
              </w:rPr>
              <w:t>RAN3 #119</w:t>
            </w:r>
          </w:p>
          <w:p w14:paraId="227A1432" w14:textId="77777777" w:rsidR="005C5893" w:rsidRPr="00D17387" w:rsidRDefault="005C5893" w:rsidP="005C5893">
            <w:pPr>
              <w:rPr>
                <w:rFonts w:ascii="Calibri" w:eastAsia="等线" w:hAnsi="Calibri" w:cs="Calibri"/>
                <w:b/>
                <w:color w:val="0000FF"/>
                <w:sz w:val="18"/>
                <w:szCs w:val="24"/>
              </w:rPr>
            </w:pPr>
            <w:r w:rsidRPr="00D17387">
              <w:rPr>
                <w:rFonts w:ascii="Calibri" w:eastAsia="等线" w:hAnsi="Calibri" w:cs="Calibri"/>
                <w:b/>
                <w:color w:val="0000FF"/>
                <w:sz w:val="18"/>
                <w:szCs w:val="24"/>
              </w:rPr>
              <w:t>RAN3 should specify mechanisms on how to correlate NR SHR and LTE RLF Report in case there is a RLF shortly after a successful inter-RAT HO from NR to LTE?</w:t>
            </w:r>
          </w:p>
          <w:p w14:paraId="40658467" w14:textId="77777777" w:rsidR="005C5893" w:rsidRPr="00D17387" w:rsidRDefault="005C5893" w:rsidP="005C5893">
            <w:pPr>
              <w:widowControl w:val="0"/>
              <w:ind w:left="144" w:hanging="144"/>
              <w:rPr>
                <w:rFonts w:ascii="Calibri" w:eastAsia="等线" w:hAnsi="Calibri" w:cs="Calibri"/>
                <w:b/>
                <w:color w:val="0000FF"/>
                <w:sz w:val="18"/>
                <w:szCs w:val="24"/>
              </w:rPr>
            </w:pPr>
            <w:r w:rsidRPr="00D17387">
              <w:rPr>
                <w:rFonts w:ascii="Calibri" w:eastAsia="等线" w:hAnsi="Calibri" w:cs="Calibri"/>
                <w:b/>
                <w:color w:val="0000FF"/>
                <w:sz w:val="18"/>
                <w:szCs w:val="24"/>
              </w:rPr>
              <w:t>The content of inter-SHR?</w:t>
            </w:r>
          </w:p>
          <w:p w14:paraId="11952CC7" w14:textId="77777777" w:rsidR="005C5893" w:rsidRPr="00D17387" w:rsidRDefault="005C5893" w:rsidP="005C5893">
            <w:pPr>
              <w:rPr>
                <w:rFonts w:ascii="Calibri" w:eastAsia="等线" w:hAnsi="Calibri" w:cs="Calibri"/>
                <w:b/>
                <w:color w:val="0000FF"/>
                <w:sz w:val="18"/>
                <w:szCs w:val="24"/>
              </w:rPr>
            </w:pPr>
            <w:r w:rsidRPr="00D17387">
              <w:rPr>
                <w:rFonts w:ascii="Calibri" w:eastAsia="等线" w:hAnsi="Calibri" w:cs="Calibri"/>
                <w:b/>
                <w:color w:val="0000FF"/>
                <w:sz w:val="18"/>
                <w:szCs w:val="24"/>
              </w:rPr>
              <w:t>ACCESS AND MOBILITY INDICATION procedure is adopted as SHR forwarding mechanism for inter-RAT SHR?</w:t>
            </w:r>
          </w:p>
          <w:p w14:paraId="0BF65FC0" w14:textId="77777777" w:rsidR="005C5893" w:rsidRPr="00D17387" w:rsidRDefault="005C5893" w:rsidP="005C5893">
            <w:pPr>
              <w:spacing w:before="120" w:after="0"/>
              <w:rPr>
                <w:rFonts w:ascii="Calibri" w:eastAsia="等线" w:hAnsi="Calibri" w:cs="Calibri"/>
                <w:sz w:val="18"/>
                <w:szCs w:val="24"/>
                <w:u w:val="single"/>
              </w:rPr>
            </w:pPr>
            <w:r w:rsidRPr="00D17387">
              <w:rPr>
                <w:rFonts w:ascii="Calibri" w:eastAsia="等线" w:hAnsi="Calibri" w:cs="Calibri"/>
                <w:b/>
                <w:color w:val="008000"/>
                <w:sz w:val="18"/>
                <w:szCs w:val="24"/>
              </w:rPr>
              <w:t>RAN3 sees benefits to s</w:t>
            </w:r>
            <w:r w:rsidRPr="00D17387">
              <w:rPr>
                <w:rFonts w:ascii="Calibri" w:eastAsia="等线" w:hAnsi="Calibri" w:cs="Calibri" w:hint="eastAsia"/>
                <w:b/>
                <w:color w:val="008000"/>
                <w:sz w:val="18"/>
                <w:szCs w:val="24"/>
              </w:rPr>
              <w:t>upport inter-RAT SHR from LTE to NR</w:t>
            </w:r>
            <w:r w:rsidRPr="00D17387">
              <w:rPr>
                <w:rFonts w:ascii="Calibri" w:eastAsia="等线" w:hAnsi="Calibri" w:cs="Calibri"/>
                <w:b/>
                <w:color w:val="008000"/>
                <w:sz w:val="18"/>
                <w:szCs w:val="24"/>
              </w:rPr>
              <w:t xml:space="preserve"> for T304 trigger with no impact on LTE in R</w:t>
            </w:r>
            <w:r w:rsidRPr="00D17387">
              <w:rPr>
                <w:rFonts w:ascii="Calibri" w:eastAsia="等线" w:hAnsi="Calibri" w:cs="Calibri" w:hint="eastAsia"/>
                <w:b/>
                <w:color w:val="008000"/>
                <w:sz w:val="18"/>
                <w:szCs w:val="24"/>
              </w:rPr>
              <w:t>el-</w:t>
            </w:r>
            <w:r w:rsidRPr="00D17387">
              <w:rPr>
                <w:rFonts w:ascii="Calibri" w:eastAsia="等线" w:hAnsi="Calibri" w:cs="Calibri"/>
                <w:b/>
                <w:color w:val="008000"/>
                <w:sz w:val="18"/>
                <w:szCs w:val="24"/>
              </w:rPr>
              <w:t>18</w:t>
            </w:r>
            <w:r w:rsidRPr="00D17387">
              <w:rPr>
                <w:rFonts w:ascii="Calibri" w:eastAsia="等线" w:hAnsi="Calibri" w:cs="Calibri" w:hint="eastAsia"/>
                <w:b/>
                <w:color w:val="008000"/>
                <w:sz w:val="18"/>
                <w:szCs w:val="24"/>
              </w:rPr>
              <w:t>.</w:t>
            </w:r>
          </w:p>
          <w:p w14:paraId="05C41149" w14:textId="77777777" w:rsidR="005C5893" w:rsidRPr="00D17387" w:rsidRDefault="005C5893" w:rsidP="005C5893">
            <w:pPr>
              <w:rPr>
                <w:rFonts w:ascii="Calibri" w:eastAsia="等线" w:hAnsi="Calibri" w:cs="Calibri"/>
                <w:sz w:val="18"/>
                <w:szCs w:val="24"/>
              </w:rPr>
            </w:pPr>
            <w:r w:rsidRPr="00D17387">
              <w:rPr>
                <w:rFonts w:ascii="Calibri" w:eastAsia="等线" w:hAnsi="Calibri" w:cs="Calibri"/>
                <w:sz w:val="18"/>
                <w:szCs w:val="24"/>
              </w:rPr>
              <w:t>Option 1: The receiving node forwards the inter-RAT SHR to source node, then source node forwards the inter-RAT SHR to target node</w:t>
            </w:r>
          </w:p>
          <w:p w14:paraId="4DD7CA67" w14:textId="77777777" w:rsidR="005C5893" w:rsidRPr="00D17387" w:rsidRDefault="005C5893" w:rsidP="005C5893">
            <w:pPr>
              <w:rPr>
                <w:rFonts w:ascii="Calibri" w:eastAsia="等线" w:hAnsi="Calibri" w:cs="Calibri"/>
                <w:sz w:val="18"/>
                <w:szCs w:val="24"/>
              </w:rPr>
            </w:pPr>
            <w:r w:rsidRPr="00D17387">
              <w:rPr>
                <w:rFonts w:ascii="Calibri" w:eastAsia="等线" w:hAnsi="Calibri" w:cs="Calibri"/>
                <w:sz w:val="18"/>
                <w:szCs w:val="24"/>
              </w:rPr>
              <w:t>Option 2: The receiving node forwards the inter-RAT SHR to target node, then target node forwards the inter-RAT SHR to source node</w:t>
            </w:r>
          </w:p>
          <w:p w14:paraId="6A7CA3B0" w14:textId="77777777" w:rsidR="005C5893" w:rsidRPr="00D17387" w:rsidRDefault="005C5893" w:rsidP="005C5893">
            <w:pPr>
              <w:rPr>
                <w:rFonts w:ascii="Calibri" w:eastAsia="等线" w:hAnsi="Calibri" w:cs="Calibri"/>
                <w:sz w:val="18"/>
                <w:szCs w:val="24"/>
              </w:rPr>
            </w:pPr>
            <w:r w:rsidRPr="00D17387">
              <w:rPr>
                <w:rFonts w:ascii="Calibri" w:eastAsia="等线" w:hAnsi="Calibri" w:cs="Calibri"/>
                <w:sz w:val="18"/>
                <w:szCs w:val="24"/>
              </w:rPr>
              <w:t>Option 3: The receiving node forwards the inter-RAT SHR to corresponding node which generates the SHR trigger condition that triggers the inter-RAT SHR</w:t>
            </w:r>
          </w:p>
          <w:p w14:paraId="4AA081B6" w14:textId="77777777" w:rsidR="005C5893" w:rsidRPr="00D17387" w:rsidRDefault="005C5893" w:rsidP="005C5893">
            <w:pPr>
              <w:rPr>
                <w:rFonts w:ascii="Calibri" w:eastAsia="等线" w:hAnsi="Calibri" w:cs="Calibri"/>
                <w:b/>
                <w:color w:val="008000"/>
                <w:sz w:val="18"/>
                <w:szCs w:val="24"/>
              </w:rPr>
            </w:pPr>
            <w:r w:rsidRPr="00D17387">
              <w:rPr>
                <w:rFonts w:ascii="Calibri" w:eastAsia="等线" w:hAnsi="Calibri" w:cs="Calibri"/>
                <w:b/>
                <w:color w:val="008000"/>
                <w:sz w:val="18"/>
                <w:szCs w:val="24"/>
              </w:rPr>
              <w:t>Take Option 3 (The receiving node forwards the inter-RAT SHR to corresponding node which generates the SHR trigger condition that triggers the inter-RAT SHR) as baseline for SHR forwarding mechanism in Rel-18.</w:t>
            </w:r>
          </w:p>
          <w:p w14:paraId="0A9CF6BE" w14:textId="77777777" w:rsidR="005C5893" w:rsidRPr="00D17387" w:rsidRDefault="005C5893" w:rsidP="005C5893">
            <w:pPr>
              <w:rPr>
                <w:rFonts w:ascii="Calibri" w:eastAsia="等线" w:hAnsi="Calibri" w:cs="Calibri"/>
                <w:b/>
                <w:color w:val="008000"/>
                <w:sz w:val="18"/>
                <w:szCs w:val="24"/>
              </w:rPr>
            </w:pPr>
            <w:r w:rsidRPr="00D17387">
              <w:rPr>
                <w:rFonts w:ascii="Calibri" w:eastAsia="等线" w:hAnsi="Calibri" w:cs="Calibri"/>
                <w:b/>
                <w:color w:val="008000"/>
                <w:sz w:val="18"/>
                <w:szCs w:val="24"/>
              </w:rPr>
              <w:t xml:space="preserve">WA: The content of inter-RAT SHR from LTE to NR includes at least Source LTE cell, Target NR </w:t>
            </w:r>
            <w:proofErr w:type="gramStart"/>
            <w:r w:rsidRPr="00D17387">
              <w:rPr>
                <w:rFonts w:ascii="Calibri" w:eastAsia="等线" w:hAnsi="Calibri" w:cs="Calibri"/>
                <w:b/>
                <w:color w:val="008000"/>
                <w:sz w:val="18"/>
                <w:szCs w:val="24"/>
              </w:rPr>
              <w:t>cell .</w:t>
            </w:r>
            <w:proofErr w:type="gramEnd"/>
          </w:p>
          <w:p w14:paraId="42B27F69" w14:textId="77777777" w:rsidR="005C5893" w:rsidRPr="00D17387" w:rsidRDefault="005C5893" w:rsidP="005C5893">
            <w:pPr>
              <w:rPr>
                <w:rFonts w:ascii="Calibri" w:eastAsia="等线" w:hAnsi="Calibri" w:cs="Calibri"/>
                <w:b/>
                <w:color w:val="0000FF"/>
                <w:sz w:val="18"/>
                <w:szCs w:val="24"/>
              </w:rPr>
            </w:pPr>
            <w:r w:rsidRPr="00D17387">
              <w:rPr>
                <w:rFonts w:ascii="Calibri" w:eastAsia="等线" w:hAnsi="Calibri" w:cs="Calibri"/>
                <w:b/>
                <w:color w:val="0000FF"/>
                <w:sz w:val="18"/>
                <w:szCs w:val="24"/>
              </w:rPr>
              <w:lastRenderedPageBreak/>
              <w:t>Further information from the UE is FFS depending on if and how we support correlation mechanism and UE context retrieval mechanism.</w:t>
            </w:r>
          </w:p>
          <w:p w14:paraId="4E5EF3A0" w14:textId="77777777" w:rsidR="00382602" w:rsidRPr="00F71807" w:rsidRDefault="00382602" w:rsidP="00382602">
            <w:pPr>
              <w:rPr>
                <w:rFonts w:cs="Arial"/>
                <w:b/>
                <w:bCs/>
                <w:color w:val="008000"/>
                <w:szCs w:val="22"/>
                <w:u w:val="single"/>
              </w:rPr>
            </w:pPr>
            <w:r w:rsidRPr="00F71807">
              <w:rPr>
                <w:rFonts w:cs="Arial"/>
                <w:b/>
                <w:bCs/>
                <w:color w:val="008000"/>
                <w:szCs w:val="22"/>
                <w:u w:val="single"/>
              </w:rPr>
              <w:t>Agreements:</w:t>
            </w:r>
          </w:p>
          <w:p w14:paraId="2BB52E86" w14:textId="77777777" w:rsidR="00382602" w:rsidRPr="00880A29" w:rsidRDefault="00382602" w:rsidP="00382602">
            <w:pPr>
              <w:rPr>
                <w:b/>
                <w:bCs/>
                <w:color w:val="008000"/>
                <w:sz w:val="18"/>
              </w:rPr>
            </w:pPr>
            <w:r w:rsidRPr="00880A29">
              <w:rPr>
                <w:b/>
                <w:bCs/>
                <w:color w:val="008000"/>
                <w:sz w:val="18"/>
              </w:rPr>
              <w:t xml:space="preserve">If a different NR node (different from source NR node) retrieves the SHR collected during an inter-RAT HO (NR to LTE), reuse </w:t>
            </w:r>
            <w:r w:rsidRPr="00880A29">
              <w:rPr>
                <w:b/>
                <w:bCs/>
                <w:i/>
                <w:iCs/>
                <w:color w:val="008000"/>
                <w:sz w:val="18"/>
              </w:rPr>
              <w:t>ACCESS AND MOBILITY INDICATION</w:t>
            </w:r>
            <w:r w:rsidRPr="00880A29">
              <w:rPr>
                <w:b/>
                <w:bCs/>
                <w:color w:val="008000"/>
                <w:sz w:val="18"/>
              </w:rPr>
              <w:t xml:space="preserve"> message (over </w:t>
            </w:r>
            <w:proofErr w:type="spellStart"/>
            <w:r w:rsidRPr="00880A29">
              <w:rPr>
                <w:b/>
                <w:bCs/>
                <w:color w:val="008000"/>
                <w:sz w:val="18"/>
              </w:rPr>
              <w:t>XnAP</w:t>
            </w:r>
            <w:proofErr w:type="spellEnd"/>
            <w:r w:rsidRPr="00880A29">
              <w:rPr>
                <w:b/>
                <w:bCs/>
                <w:color w:val="008000"/>
                <w:sz w:val="18"/>
              </w:rPr>
              <w:t xml:space="preserve"> and F1AP) and Uplink/Downlink RAN configuration transfer procedures (over NGAP) to forward the SHR to the source NR node</w:t>
            </w:r>
          </w:p>
          <w:p w14:paraId="60C685A6" w14:textId="77777777" w:rsidR="00382602" w:rsidRPr="00880A29" w:rsidRDefault="00382602" w:rsidP="00382602">
            <w:pPr>
              <w:rPr>
                <w:b/>
                <w:color w:val="0000FF"/>
                <w:sz w:val="18"/>
              </w:rPr>
            </w:pPr>
            <w:r w:rsidRPr="00880A29">
              <w:rPr>
                <w:b/>
                <w:color w:val="0000FF"/>
                <w:sz w:val="18"/>
              </w:rPr>
              <w:t>UE will provide information that enables context retrieval in the source node? To be discussed in the 2</w:t>
            </w:r>
            <w:r w:rsidRPr="00880A29">
              <w:rPr>
                <w:b/>
                <w:color w:val="0000FF"/>
                <w:sz w:val="18"/>
                <w:vertAlign w:val="superscript"/>
              </w:rPr>
              <w:t>nd</w:t>
            </w:r>
            <w:r w:rsidRPr="00880A29">
              <w:rPr>
                <w:b/>
                <w:color w:val="0000FF"/>
                <w:sz w:val="18"/>
              </w:rPr>
              <w:t xml:space="preserve"> round.</w:t>
            </w:r>
          </w:p>
          <w:p w14:paraId="3B020945" w14:textId="77777777" w:rsidR="00382602" w:rsidRPr="00F71807" w:rsidRDefault="00382602" w:rsidP="00382602">
            <w:pPr>
              <w:rPr>
                <w:rFonts w:cs="Arial"/>
                <w:b/>
                <w:bCs/>
                <w:color w:val="008000"/>
                <w:szCs w:val="22"/>
                <w:u w:val="single"/>
              </w:rPr>
            </w:pPr>
            <w:r w:rsidRPr="00F71807">
              <w:rPr>
                <w:rFonts w:cs="Arial"/>
                <w:b/>
                <w:bCs/>
                <w:color w:val="008000"/>
                <w:szCs w:val="22"/>
                <w:u w:val="single"/>
              </w:rPr>
              <w:t>Agreements:</w:t>
            </w:r>
          </w:p>
          <w:p w14:paraId="582A7F58" w14:textId="77777777" w:rsidR="00382602" w:rsidRPr="00880A29" w:rsidRDefault="00382602" w:rsidP="00382602">
            <w:pPr>
              <w:pStyle w:val="ListParagraph3"/>
              <w:spacing w:after="160" w:line="256" w:lineRule="auto"/>
              <w:ind w:left="0"/>
              <w:rPr>
                <w:b/>
                <w:bCs/>
                <w:color w:val="008000"/>
                <w:sz w:val="18"/>
                <w:szCs w:val="22"/>
              </w:rPr>
            </w:pPr>
            <w:r w:rsidRPr="00880A29">
              <w:rPr>
                <w:b/>
                <w:bCs/>
                <w:color w:val="008000"/>
                <w:sz w:val="18"/>
                <w:szCs w:val="22"/>
              </w:rPr>
              <w:t>No further discussion in RAN3 on above RACH related information.</w:t>
            </w:r>
          </w:p>
          <w:p w14:paraId="716446A8" w14:textId="77777777" w:rsidR="00382602" w:rsidRPr="00880A29" w:rsidRDefault="00382602" w:rsidP="00382602">
            <w:pPr>
              <w:pStyle w:val="ListParagraph3"/>
              <w:spacing w:after="160" w:line="256" w:lineRule="auto"/>
              <w:ind w:left="0"/>
              <w:rPr>
                <w:b/>
                <w:bCs/>
                <w:color w:val="008000"/>
                <w:sz w:val="18"/>
                <w:szCs w:val="22"/>
              </w:rPr>
            </w:pPr>
          </w:p>
          <w:p w14:paraId="2EF78641" w14:textId="77777777" w:rsidR="00382602" w:rsidRPr="00880A29" w:rsidRDefault="00382602" w:rsidP="00382602">
            <w:pPr>
              <w:contextualSpacing/>
              <w:rPr>
                <w:b/>
                <w:bCs/>
                <w:color w:val="008000"/>
                <w:sz w:val="18"/>
              </w:rPr>
            </w:pPr>
            <w:r w:rsidRPr="00880A29">
              <w:rPr>
                <w:b/>
                <w:bCs/>
                <w:color w:val="008000"/>
                <w:sz w:val="18"/>
              </w:rPr>
              <w:t>Support collection of SHR during successful inter-RAT HO (LTE to NR) for T304 trigger without any LTE impacts in R18, if the following principles are used. Send LS to RAN2 to confirm the first 4 bullets:</w:t>
            </w:r>
          </w:p>
          <w:p w14:paraId="68E642C1" w14:textId="77777777" w:rsidR="00382602" w:rsidRPr="00880A29" w:rsidRDefault="00382602" w:rsidP="00382602">
            <w:pPr>
              <w:pStyle w:val="ListParagraph3"/>
              <w:numPr>
                <w:ilvl w:val="0"/>
                <w:numId w:val="22"/>
              </w:numPr>
              <w:spacing w:after="160" w:line="256" w:lineRule="auto"/>
              <w:rPr>
                <w:b/>
                <w:bCs/>
                <w:color w:val="008000"/>
                <w:sz w:val="18"/>
                <w:szCs w:val="22"/>
              </w:rPr>
            </w:pPr>
            <w:r w:rsidRPr="00880A29">
              <w:rPr>
                <w:b/>
                <w:bCs/>
                <w:color w:val="008000"/>
                <w:sz w:val="18"/>
                <w:szCs w:val="22"/>
              </w:rPr>
              <w:t xml:space="preserve">Target </w:t>
            </w:r>
            <w:proofErr w:type="spellStart"/>
            <w:r w:rsidRPr="00880A29">
              <w:rPr>
                <w:b/>
                <w:bCs/>
                <w:color w:val="008000"/>
                <w:sz w:val="18"/>
                <w:szCs w:val="22"/>
              </w:rPr>
              <w:t>gNB</w:t>
            </w:r>
            <w:proofErr w:type="spellEnd"/>
            <w:r w:rsidRPr="00880A29">
              <w:rPr>
                <w:b/>
                <w:bCs/>
                <w:color w:val="008000"/>
                <w:sz w:val="18"/>
                <w:szCs w:val="22"/>
              </w:rPr>
              <w:t xml:space="preserve"> can send SHR configuration (T304 trigger) to UE via NR container (</w:t>
            </w:r>
            <w:proofErr w:type="spellStart"/>
            <w:r w:rsidRPr="00880A29">
              <w:rPr>
                <w:b/>
                <w:bCs/>
                <w:i/>
                <w:iCs/>
                <w:color w:val="008000"/>
                <w:sz w:val="18"/>
                <w:szCs w:val="22"/>
              </w:rPr>
              <w:t>targetRAT-MessageContainer</w:t>
            </w:r>
            <w:proofErr w:type="spellEnd"/>
            <w:r w:rsidRPr="00880A29">
              <w:rPr>
                <w:b/>
                <w:bCs/>
                <w:i/>
                <w:iCs/>
                <w:color w:val="008000"/>
                <w:sz w:val="18"/>
                <w:szCs w:val="22"/>
              </w:rPr>
              <w:t>)</w:t>
            </w:r>
            <w:r w:rsidRPr="00880A29">
              <w:rPr>
                <w:b/>
                <w:bCs/>
                <w:color w:val="008000"/>
                <w:sz w:val="18"/>
                <w:szCs w:val="22"/>
              </w:rPr>
              <w:t xml:space="preserve"> in </w:t>
            </w:r>
            <w:proofErr w:type="spellStart"/>
            <w:r w:rsidRPr="00880A29">
              <w:rPr>
                <w:b/>
                <w:bCs/>
                <w:i/>
                <w:iCs/>
                <w:color w:val="008000"/>
                <w:sz w:val="18"/>
                <w:szCs w:val="22"/>
              </w:rPr>
              <w:t>MobilityFromEUTRACommand</w:t>
            </w:r>
            <w:proofErr w:type="spellEnd"/>
            <w:r w:rsidRPr="00880A29">
              <w:rPr>
                <w:b/>
                <w:bCs/>
                <w:color w:val="008000"/>
                <w:sz w:val="18"/>
                <w:szCs w:val="22"/>
              </w:rPr>
              <w:t xml:space="preserve"> </w:t>
            </w:r>
          </w:p>
          <w:p w14:paraId="649BC977" w14:textId="77777777" w:rsidR="00382602" w:rsidRPr="00880A29" w:rsidRDefault="00382602" w:rsidP="00382602">
            <w:pPr>
              <w:pStyle w:val="ListParagraph3"/>
              <w:numPr>
                <w:ilvl w:val="0"/>
                <w:numId w:val="22"/>
              </w:numPr>
              <w:spacing w:after="160" w:line="256" w:lineRule="auto"/>
              <w:rPr>
                <w:b/>
                <w:bCs/>
                <w:color w:val="008000"/>
                <w:sz w:val="18"/>
                <w:szCs w:val="22"/>
              </w:rPr>
            </w:pPr>
            <w:r w:rsidRPr="00880A29">
              <w:rPr>
                <w:b/>
                <w:bCs/>
                <w:color w:val="008000"/>
                <w:sz w:val="18"/>
                <w:szCs w:val="22"/>
              </w:rPr>
              <w:t>UE stores this SHR configuration in NR format</w:t>
            </w:r>
          </w:p>
          <w:p w14:paraId="478CD4E3" w14:textId="77777777" w:rsidR="00382602" w:rsidRPr="00880A29" w:rsidRDefault="00382602" w:rsidP="00382602">
            <w:pPr>
              <w:pStyle w:val="ListParagraph3"/>
              <w:numPr>
                <w:ilvl w:val="0"/>
                <w:numId w:val="22"/>
              </w:numPr>
              <w:spacing w:after="160" w:line="256" w:lineRule="auto"/>
              <w:rPr>
                <w:b/>
                <w:bCs/>
                <w:color w:val="008000"/>
                <w:sz w:val="18"/>
                <w:szCs w:val="22"/>
              </w:rPr>
            </w:pPr>
            <w:r w:rsidRPr="00880A29">
              <w:rPr>
                <w:b/>
                <w:bCs/>
                <w:color w:val="008000"/>
                <w:sz w:val="18"/>
                <w:szCs w:val="22"/>
              </w:rPr>
              <w:t xml:space="preserve">If T304 trigger is met, UE records SHR in NR format </w:t>
            </w:r>
          </w:p>
          <w:p w14:paraId="00CFEF92" w14:textId="77777777" w:rsidR="00382602" w:rsidRPr="00880A29" w:rsidRDefault="00382602" w:rsidP="00382602">
            <w:pPr>
              <w:pStyle w:val="ListParagraph3"/>
              <w:numPr>
                <w:ilvl w:val="0"/>
                <w:numId w:val="22"/>
              </w:numPr>
              <w:spacing w:after="160" w:line="256" w:lineRule="auto"/>
              <w:rPr>
                <w:b/>
                <w:bCs/>
                <w:color w:val="008000"/>
                <w:sz w:val="18"/>
                <w:szCs w:val="22"/>
              </w:rPr>
            </w:pPr>
            <w:r w:rsidRPr="00880A29">
              <w:rPr>
                <w:b/>
                <w:bCs/>
                <w:color w:val="008000"/>
                <w:sz w:val="18"/>
                <w:szCs w:val="22"/>
              </w:rPr>
              <w:t xml:space="preserve">UE reports this SHR to only an </w:t>
            </w:r>
            <w:proofErr w:type="spellStart"/>
            <w:r w:rsidRPr="00880A29">
              <w:rPr>
                <w:b/>
                <w:bCs/>
                <w:color w:val="008000"/>
                <w:sz w:val="18"/>
                <w:szCs w:val="22"/>
              </w:rPr>
              <w:t>gNB</w:t>
            </w:r>
            <w:proofErr w:type="spellEnd"/>
            <w:r w:rsidRPr="00880A29">
              <w:rPr>
                <w:b/>
                <w:bCs/>
                <w:color w:val="008000"/>
                <w:sz w:val="18"/>
                <w:szCs w:val="22"/>
              </w:rPr>
              <w:t xml:space="preserve"> (either the target </w:t>
            </w:r>
            <w:proofErr w:type="spellStart"/>
            <w:r w:rsidRPr="00880A29">
              <w:rPr>
                <w:b/>
                <w:bCs/>
                <w:color w:val="008000"/>
                <w:sz w:val="18"/>
                <w:szCs w:val="22"/>
              </w:rPr>
              <w:t>gNB</w:t>
            </w:r>
            <w:proofErr w:type="spellEnd"/>
            <w:r w:rsidRPr="00880A29">
              <w:rPr>
                <w:b/>
                <w:bCs/>
                <w:color w:val="008000"/>
                <w:sz w:val="18"/>
                <w:szCs w:val="22"/>
              </w:rPr>
              <w:t xml:space="preserve"> or another </w:t>
            </w:r>
            <w:proofErr w:type="spellStart"/>
            <w:r w:rsidRPr="00880A29">
              <w:rPr>
                <w:b/>
                <w:bCs/>
                <w:color w:val="008000"/>
                <w:sz w:val="18"/>
                <w:szCs w:val="22"/>
              </w:rPr>
              <w:t>gNB</w:t>
            </w:r>
            <w:proofErr w:type="spellEnd"/>
            <w:r w:rsidRPr="00880A29">
              <w:rPr>
                <w:b/>
                <w:bCs/>
                <w:color w:val="008000"/>
                <w:sz w:val="18"/>
                <w:szCs w:val="22"/>
              </w:rPr>
              <w:t>)</w:t>
            </w:r>
          </w:p>
          <w:p w14:paraId="4426651E" w14:textId="77777777" w:rsidR="00382602" w:rsidRPr="00880A29" w:rsidRDefault="00382602" w:rsidP="00382602">
            <w:pPr>
              <w:pStyle w:val="ListParagraph3"/>
              <w:numPr>
                <w:ilvl w:val="0"/>
                <w:numId w:val="22"/>
              </w:numPr>
              <w:spacing w:after="160" w:line="256" w:lineRule="auto"/>
              <w:rPr>
                <w:b/>
                <w:bCs/>
                <w:color w:val="008000"/>
                <w:sz w:val="18"/>
                <w:szCs w:val="22"/>
              </w:rPr>
            </w:pPr>
            <w:proofErr w:type="spellStart"/>
            <w:r w:rsidRPr="00880A29">
              <w:rPr>
                <w:b/>
                <w:bCs/>
                <w:color w:val="008000"/>
                <w:sz w:val="18"/>
                <w:szCs w:val="22"/>
              </w:rPr>
              <w:t>gNB</w:t>
            </w:r>
            <w:proofErr w:type="spellEnd"/>
            <w:r w:rsidRPr="00880A29">
              <w:rPr>
                <w:b/>
                <w:bCs/>
                <w:color w:val="008000"/>
                <w:sz w:val="18"/>
                <w:szCs w:val="22"/>
              </w:rPr>
              <w:t xml:space="preserve"> retrieving this SHR can forward this SHR to the target </w:t>
            </w:r>
            <w:proofErr w:type="spellStart"/>
            <w:r w:rsidRPr="00880A29">
              <w:rPr>
                <w:b/>
                <w:bCs/>
                <w:color w:val="008000"/>
                <w:sz w:val="18"/>
                <w:szCs w:val="22"/>
              </w:rPr>
              <w:t>gNB</w:t>
            </w:r>
            <w:proofErr w:type="spellEnd"/>
            <w:r w:rsidRPr="00880A29">
              <w:rPr>
                <w:b/>
                <w:bCs/>
                <w:color w:val="008000"/>
                <w:sz w:val="18"/>
                <w:szCs w:val="22"/>
              </w:rPr>
              <w:t xml:space="preserve"> for SHR optimizations</w:t>
            </w:r>
          </w:p>
          <w:p w14:paraId="100208C5" w14:textId="77777777" w:rsidR="00382602" w:rsidRPr="00F71807" w:rsidRDefault="00382602" w:rsidP="00382602">
            <w:pPr>
              <w:rPr>
                <w:rFonts w:cs="Arial"/>
                <w:b/>
                <w:bCs/>
                <w:color w:val="008000"/>
                <w:szCs w:val="22"/>
                <w:u w:val="single"/>
              </w:rPr>
            </w:pPr>
            <w:r w:rsidRPr="00F71807">
              <w:rPr>
                <w:rFonts w:cs="Arial"/>
                <w:b/>
                <w:bCs/>
                <w:color w:val="008000"/>
                <w:szCs w:val="22"/>
                <w:u w:val="single"/>
              </w:rPr>
              <w:t>Agreements:</w:t>
            </w:r>
          </w:p>
          <w:p w14:paraId="3917167A" w14:textId="77777777" w:rsidR="00382602" w:rsidRPr="00880A29" w:rsidRDefault="00382602" w:rsidP="00382602">
            <w:pPr>
              <w:rPr>
                <w:b/>
                <w:bCs/>
                <w:color w:val="008000"/>
                <w:sz w:val="18"/>
              </w:rPr>
            </w:pPr>
            <w:r w:rsidRPr="00880A29">
              <w:rPr>
                <w:b/>
                <w:bCs/>
                <w:color w:val="008000"/>
                <w:sz w:val="18"/>
              </w:rPr>
              <w:t>The SHR collected during inter-RAT HO (LTE to NR) should include at least Source LTE cell and Target NR cell (assuming RAN2 confirms no LTE impacts based on the principles in Proposal 4)</w:t>
            </w:r>
          </w:p>
          <w:p w14:paraId="45C626E7" w14:textId="77777777" w:rsidR="00382602" w:rsidRPr="00880A29" w:rsidRDefault="00382602" w:rsidP="00382602">
            <w:pPr>
              <w:rPr>
                <w:b/>
                <w:bCs/>
                <w:color w:val="008000"/>
                <w:sz w:val="18"/>
              </w:rPr>
            </w:pPr>
            <w:r w:rsidRPr="00880A29">
              <w:rPr>
                <w:b/>
                <w:bCs/>
                <w:color w:val="008000"/>
                <w:sz w:val="18"/>
              </w:rPr>
              <w:t>WA: The triggers for SPR should be represented in terms of percentage values (similar to SHR)</w:t>
            </w:r>
          </w:p>
          <w:p w14:paraId="5DCF4AED" w14:textId="77777777" w:rsidR="00382602" w:rsidRPr="00F71807" w:rsidRDefault="00382602" w:rsidP="00382602">
            <w:pPr>
              <w:rPr>
                <w:rFonts w:cs="Arial"/>
                <w:b/>
                <w:bCs/>
                <w:color w:val="008000"/>
                <w:szCs w:val="22"/>
                <w:u w:val="single"/>
              </w:rPr>
            </w:pPr>
            <w:r w:rsidRPr="00F71807">
              <w:rPr>
                <w:rFonts w:cs="Arial"/>
                <w:b/>
                <w:bCs/>
                <w:color w:val="008000"/>
                <w:szCs w:val="22"/>
                <w:u w:val="single"/>
              </w:rPr>
              <w:t>Agreements:</w:t>
            </w:r>
          </w:p>
          <w:p w14:paraId="747A4C39" w14:textId="77777777" w:rsidR="00382602" w:rsidRPr="00880A29" w:rsidRDefault="00382602" w:rsidP="00382602">
            <w:pPr>
              <w:rPr>
                <w:b/>
                <w:bCs/>
                <w:color w:val="008000"/>
                <w:sz w:val="18"/>
              </w:rPr>
            </w:pPr>
            <w:r w:rsidRPr="00880A29">
              <w:rPr>
                <w:b/>
                <w:bCs/>
                <w:color w:val="008000"/>
                <w:sz w:val="18"/>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12CB16A7" w14:textId="77777777" w:rsidR="00382602" w:rsidRPr="00F71807" w:rsidRDefault="00382602" w:rsidP="00382602">
            <w:pPr>
              <w:rPr>
                <w:rFonts w:cs="Arial"/>
                <w:b/>
                <w:bCs/>
                <w:color w:val="008000"/>
                <w:sz w:val="18"/>
                <w:u w:val="single"/>
              </w:rPr>
            </w:pPr>
            <w:r w:rsidRPr="00F71807">
              <w:rPr>
                <w:rFonts w:cs="Arial"/>
                <w:b/>
                <w:bCs/>
                <w:color w:val="008000"/>
                <w:sz w:val="18"/>
                <w:u w:val="single"/>
              </w:rPr>
              <w:t>Agreements:</w:t>
            </w:r>
          </w:p>
          <w:p w14:paraId="1430C688" w14:textId="77777777" w:rsidR="00382602" w:rsidRPr="00880A29" w:rsidRDefault="00382602" w:rsidP="00382602">
            <w:pPr>
              <w:rPr>
                <w:b/>
                <w:bCs/>
                <w:color w:val="008000"/>
                <w:sz w:val="18"/>
              </w:rPr>
            </w:pPr>
            <w:r w:rsidRPr="00880A29">
              <w:rPr>
                <w:b/>
                <w:bCs/>
                <w:color w:val="008000"/>
                <w:sz w:val="18"/>
              </w:rPr>
              <w:t>To assist in the forwarding of SPR, UE may include the following in SPR</w:t>
            </w:r>
          </w:p>
          <w:p w14:paraId="2E3D1C49" w14:textId="77777777" w:rsidR="00382602" w:rsidRPr="00880A29" w:rsidRDefault="00382602" w:rsidP="00382602">
            <w:pPr>
              <w:pStyle w:val="ListParagraph3"/>
              <w:numPr>
                <w:ilvl w:val="0"/>
                <w:numId w:val="23"/>
              </w:numPr>
              <w:spacing w:after="160" w:line="256" w:lineRule="auto"/>
              <w:contextualSpacing w:val="0"/>
              <w:rPr>
                <w:b/>
                <w:bCs/>
                <w:color w:val="008000"/>
                <w:sz w:val="18"/>
                <w:szCs w:val="22"/>
              </w:rPr>
            </w:pPr>
            <w:r w:rsidRPr="00880A29">
              <w:rPr>
                <w:b/>
                <w:bCs/>
                <w:color w:val="008000"/>
                <w:sz w:val="18"/>
                <w:szCs w:val="22"/>
              </w:rPr>
              <w:t xml:space="preserve">CGI of the </w:t>
            </w:r>
            <w:proofErr w:type="spellStart"/>
            <w:r w:rsidRPr="00880A29">
              <w:rPr>
                <w:b/>
                <w:bCs/>
                <w:color w:val="008000"/>
                <w:sz w:val="18"/>
                <w:szCs w:val="22"/>
              </w:rPr>
              <w:t>PCell</w:t>
            </w:r>
            <w:proofErr w:type="spellEnd"/>
            <w:r w:rsidRPr="00880A29">
              <w:rPr>
                <w:b/>
                <w:bCs/>
                <w:color w:val="008000"/>
                <w:sz w:val="18"/>
                <w:szCs w:val="22"/>
              </w:rPr>
              <w:t xml:space="preserve"> which sent the SPR configuration (presence of this IE is to be discussed)</w:t>
            </w:r>
          </w:p>
          <w:p w14:paraId="7972DDEE" w14:textId="77777777" w:rsidR="00382602" w:rsidRPr="00880A29" w:rsidRDefault="00382602" w:rsidP="00382602">
            <w:pPr>
              <w:pStyle w:val="ListParagraph3"/>
              <w:numPr>
                <w:ilvl w:val="0"/>
                <w:numId w:val="23"/>
              </w:numPr>
              <w:spacing w:after="160" w:line="256" w:lineRule="auto"/>
              <w:contextualSpacing w:val="0"/>
              <w:rPr>
                <w:b/>
                <w:bCs/>
                <w:color w:val="008000"/>
                <w:sz w:val="18"/>
                <w:szCs w:val="20"/>
              </w:rPr>
            </w:pPr>
            <w:r w:rsidRPr="00880A29">
              <w:rPr>
                <w:b/>
                <w:bCs/>
                <w:color w:val="008000"/>
                <w:sz w:val="18"/>
                <w:szCs w:val="22"/>
              </w:rPr>
              <w:t xml:space="preserve">WA: Indication whether the </w:t>
            </w:r>
            <w:proofErr w:type="spellStart"/>
            <w:r w:rsidRPr="00880A29">
              <w:rPr>
                <w:b/>
                <w:bCs/>
                <w:color w:val="008000"/>
                <w:sz w:val="18"/>
                <w:szCs w:val="22"/>
              </w:rPr>
              <w:t>PSCell</w:t>
            </w:r>
            <w:proofErr w:type="spellEnd"/>
            <w:r w:rsidRPr="00880A29">
              <w:rPr>
                <w:b/>
                <w:bCs/>
                <w:color w:val="008000"/>
                <w:sz w:val="18"/>
                <w:szCs w:val="22"/>
              </w:rPr>
              <w:t xml:space="preserve"> change was MN-initiated or SN-initiated (RAN3 should discuss how the UE knows whether the </w:t>
            </w:r>
            <w:proofErr w:type="spellStart"/>
            <w:r w:rsidRPr="00880A29">
              <w:rPr>
                <w:b/>
                <w:bCs/>
                <w:color w:val="008000"/>
                <w:sz w:val="18"/>
                <w:szCs w:val="22"/>
              </w:rPr>
              <w:t>PSCell</w:t>
            </w:r>
            <w:proofErr w:type="spellEnd"/>
            <w:r w:rsidRPr="00880A29">
              <w:rPr>
                <w:b/>
                <w:bCs/>
                <w:color w:val="008000"/>
                <w:sz w:val="18"/>
                <w:szCs w:val="22"/>
              </w:rPr>
              <w:t xml:space="preserve"> change as MN-initiated or SN-initiated and will check with RAN2 on the mechanism)</w:t>
            </w:r>
          </w:p>
          <w:p w14:paraId="46B8E341" w14:textId="77777777" w:rsidR="00382602" w:rsidRPr="00880A29" w:rsidRDefault="00382602" w:rsidP="00382602">
            <w:pPr>
              <w:rPr>
                <w:b/>
                <w:bCs/>
                <w:color w:val="008000"/>
                <w:sz w:val="18"/>
              </w:rPr>
            </w:pPr>
            <w:r w:rsidRPr="00880A29">
              <w:rPr>
                <w:b/>
                <w:bCs/>
                <w:color w:val="008000"/>
                <w:sz w:val="18"/>
              </w:rPr>
              <w:t xml:space="preserve">Reuse ACCESS AND MOBILTY INDICATION to forward SPR over </w:t>
            </w:r>
            <w:proofErr w:type="spellStart"/>
            <w:r w:rsidRPr="00880A29">
              <w:rPr>
                <w:b/>
                <w:bCs/>
                <w:color w:val="008000"/>
                <w:sz w:val="18"/>
              </w:rPr>
              <w:t>XnAP</w:t>
            </w:r>
            <w:proofErr w:type="spellEnd"/>
            <w:r w:rsidRPr="00880A29">
              <w:rPr>
                <w:b/>
                <w:bCs/>
                <w:color w:val="008000"/>
                <w:sz w:val="18"/>
              </w:rPr>
              <w:t xml:space="preserve"> and F1AP and use Uplink/Downlink RAN Configuration Transfer for forwarding SPR over NGAP</w:t>
            </w:r>
          </w:p>
          <w:p w14:paraId="3DF30EC1" w14:textId="77777777" w:rsidR="00382602" w:rsidRPr="00880A29" w:rsidRDefault="00382602" w:rsidP="00382602">
            <w:pPr>
              <w:rPr>
                <w:b/>
                <w:bCs/>
                <w:color w:val="008000"/>
                <w:sz w:val="18"/>
              </w:rPr>
            </w:pPr>
            <w:r w:rsidRPr="00880A29">
              <w:rPr>
                <w:b/>
                <w:bCs/>
                <w:color w:val="008000"/>
                <w:sz w:val="18"/>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3089C94C" w14:textId="77777777" w:rsidR="00382602" w:rsidRPr="00F71807" w:rsidRDefault="00382602" w:rsidP="00382602">
            <w:pPr>
              <w:rPr>
                <w:rFonts w:cs="Arial"/>
                <w:b/>
                <w:bCs/>
                <w:color w:val="008000"/>
                <w:szCs w:val="22"/>
                <w:u w:val="single"/>
              </w:rPr>
            </w:pPr>
            <w:r w:rsidRPr="00F71807">
              <w:rPr>
                <w:rFonts w:cs="Arial"/>
                <w:b/>
                <w:bCs/>
                <w:color w:val="008000"/>
                <w:szCs w:val="22"/>
                <w:u w:val="single"/>
              </w:rPr>
              <w:t>Agreements:</w:t>
            </w:r>
          </w:p>
          <w:p w14:paraId="30FC3184" w14:textId="77777777" w:rsidR="00382602" w:rsidRPr="00880A29" w:rsidRDefault="00382602" w:rsidP="00382602">
            <w:pPr>
              <w:rPr>
                <w:b/>
                <w:bCs/>
                <w:color w:val="008000"/>
                <w:sz w:val="18"/>
              </w:rPr>
            </w:pPr>
            <w:r w:rsidRPr="00880A29">
              <w:rPr>
                <w:b/>
                <w:bCs/>
                <w:color w:val="008000"/>
                <w:sz w:val="18"/>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14:paraId="560464AD" w14:textId="77777777" w:rsidR="00382602" w:rsidRPr="00880A29" w:rsidRDefault="00382602" w:rsidP="00382602">
            <w:pPr>
              <w:rPr>
                <w:b/>
                <w:bCs/>
                <w:color w:val="008000"/>
                <w:sz w:val="18"/>
              </w:rPr>
            </w:pPr>
          </w:p>
          <w:p w14:paraId="019724E2" w14:textId="77777777" w:rsidR="00382602" w:rsidRPr="00880A29" w:rsidRDefault="00382602" w:rsidP="00382602">
            <w:pPr>
              <w:contextualSpacing/>
              <w:rPr>
                <w:b/>
                <w:bCs/>
                <w:color w:val="008000"/>
                <w:sz w:val="18"/>
              </w:rPr>
            </w:pPr>
            <w:r w:rsidRPr="00880A29">
              <w:rPr>
                <w:b/>
                <w:bCs/>
                <w:color w:val="008000"/>
                <w:sz w:val="18"/>
              </w:rPr>
              <w:t xml:space="preserve">If the trigger is T312/T310, the objective of SPR is to </w:t>
            </w:r>
          </w:p>
          <w:p w14:paraId="1E6E9206" w14:textId="77777777" w:rsidR="00382602" w:rsidRPr="00880A29" w:rsidRDefault="00382602" w:rsidP="00382602">
            <w:pPr>
              <w:pStyle w:val="ListParagraph3"/>
              <w:numPr>
                <w:ilvl w:val="0"/>
                <w:numId w:val="24"/>
              </w:numPr>
              <w:spacing w:after="160" w:line="256" w:lineRule="auto"/>
              <w:rPr>
                <w:b/>
                <w:bCs/>
                <w:color w:val="008000"/>
                <w:sz w:val="18"/>
                <w:szCs w:val="22"/>
              </w:rPr>
            </w:pPr>
            <w:r w:rsidRPr="00880A29">
              <w:rPr>
                <w:b/>
                <w:bCs/>
                <w:color w:val="008000"/>
                <w:sz w:val="18"/>
                <w:szCs w:val="22"/>
              </w:rPr>
              <w:t xml:space="preserve">optimize </w:t>
            </w:r>
            <w:proofErr w:type="spellStart"/>
            <w:r w:rsidRPr="00880A29">
              <w:rPr>
                <w:b/>
                <w:bCs/>
                <w:color w:val="008000"/>
                <w:sz w:val="18"/>
                <w:szCs w:val="22"/>
              </w:rPr>
              <w:t>PSCell</w:t>
            </w:r>
            <w:proofErr w:type="spellEnd"/>
            <w:r w:rsidRPr="00880A29">
              <w:rPr>
                <w:b/>
                <w:bCs/>
                <w:color w:val="008000"/>
                <w:sz w:val="18"/>
                <w:szCs w:val="22"/>
              </w:rPr>
              <w:t xml:space="preserve"> change configuration and associated mobility thresholds</w:t>
            </w:r>
          </w:p>
          <w:p w14:paraId="12E4B232" w14:textId="77777777" w:rsidR="00382602" w:rsidRPr="00880A29" w:rsidRDefault="00382602" w:rsidP="00382602">
            <w:pPr>
              <w:pStyle w:val="ListParagraph3"/>
              <w:numPr>
                <w:ilvl w:val="0"/>
                <w:numId w:val="24"/>
              </w:numPr>
              <w:spacing w:after="160" w:line="256" w:lineRule="auto"/>
              <w:rPr>
                <w:b/>
                <w:bCs/>
                <w:color w:val="008000"/>
                <w:sz w:val="18"/>
                <w:szCs w:val="22"/>
              </w:rPr>
            </w:pPr>
            <w:r w:rsidRPr="00880A29">
              <w:rPr>
                <w:b/>
                <w:bCs/>
                <w:color w:val="008000"/>
                <w:sz w:val="18"/>
                <w:szCs w:val="22"/>
              </w:rPr>
              <w:lastRenderedPageBreak/>
              <w:t xml:space="preserve">optimize lower layer issues of source </w:t>
            </w:r>
            <w:proofErr w:type="spellStart"/>
            <w:r w:rsidRPr="00880A29">
              <w:rPr>
                <w:b/>
                <w:bCs/>
                <w:color w:val="008000"/>
                <w:sz w:val="18"/>
                <w:szCs w:val="22"/>
              </w:rPr>
              <w:t>PSCell</w:t>
            </w:r>
            <w:proofErr w:type="spellEnd"/>
            <w:r w:rsidRPr="00880A29">
              <w:rPr>
                <w:b/>
                <w:bCs/>
                <w:color w:val="008000"/>
                <w:sz w:val="18"/>
                <w:szCs w:val="22"/>
              </w:rPr>
              <w:t xml:space="preserve"> (e.g., optimize T310/T312 timer values)</w:t>
            </w:r>
          </w:p>
          <w:p w14:paraId="6A94E81D" w14:textId="77777777" w:rsidR="00382602" w:rsidRPr="00880A29" w:rsidRDefault="00382602" w:rsidP="00382602">
            <w:pPr>
              <w:rPr>
                <w:b/>
                <w:bCs/>
                <w:color w:val="008000"/>
                <w:sz w:val="18"/>
              </w:rPr>
            </w:pPr>
            <w:r w:rsidRPr="00880A29">
              <w:rPr>
                <w:b/>
                <w:bCs/>
                <w:color w:val="008000"/>
                <w:sz w:val="18"/>
              </w:rPr>
              <w:t>Further, T310/T312 related SPR triggers can also be optimized to ensure UE doesn’t unnecessarily collect SPR or only rarely collects SPR</w:t>
            </w:r>
          </w:p>
          <w:p w14:paraId="6D998EB7" w14:textId="77777777" w:rsidR="00382602" w:rsidRPr="00880A29" w:rsidRDefault="00382602" w:rsidP="00382602">
            <w:pPr>
              <w:rPr>
                <w:b/>
                <w:bCs/>
                <w:color w:val="008000"/>
                <w:sz w:val="18"/>
              </w:rPr>
            </w:pPr>
            <w:r w:rsidRPr="00880A29">
              <w:rPr>
                <w:b/>
                <w:bCs/>
                <w:color w:val="008000"/>
                <w:sz w:val="18"/>
              </w:rPr>
              <w:t xml:space="preserve">Irrespective of option 1/2/3, in case SPR is collected during MN-initiated </w:t>
            </w:r>
            <w:proofErr w:type="spellStart"/>
            <w:r w:rsidRPr="00880A29">
              <w:rPr>
                <w:b/>
                <w:bCs/>
                <w:color w:val="008000"/>
                <w:sz w:val="18"/>
              </w:rPr>
              <w:t>PSCell</w:t>
            </w:r>
            <w:proofErr w:type="spellEnd"/>
            <w:r w:rsidRPr="00880A29">
              <w:rPr>
                <w:b/>
                <w:bCs/>
                <w:color w:val="008000"/>
                <w:sz w:val="18"/>
              </w:rPr>
              <w:t xml:space="preserve"> change, SPR optimizations are done in both MN and source SN</w:t>
            </w:r>
          </w:p>
          <w:p w14:paraId="3704F379" w14:textId="77777777" w:rsidR="00382602" w:rsidRPr="00880A29" w:rsidRDefault="00382602" w:rsidP="00382602">
            <w:pPr>
              <w:pStyle w:val="ListParagraph3"/>
              <w:numPr>
                <w:ilvl w:val="0"/>
                <w:numId w:val="25"/>
              </w:numPr>
              <w:spacing w:after="160" w:line="256" w:lineRule="auto"/>
              <w:rPr>
                <w:b/>
                <w:bCs/>
                <w:color w:val="008000"/>
                <w:sz w:val="18"/>
                <w:szCs w:val="22"/>
              </w:rPr>
            </w:pPr>
            <w:r w:rsidRPr="00880A29">
              <w:rPr>
                <w:b/>
                <w:bCs/>
                <w:color w:val="008000"/>
                <w:sz w:val="18"/>
                <w:szCs w:val="22"/>
              </w:rPr>
              <w:t xml:space="preserve">MN is responsible to optimize </w:t>
            </w:r>
            <w:proofErr w:type="spellStart"/>
            <w:r w:rsidRPr="00880A29">
              <w:rPr>
                <w:b/>
                <w:bCs/>
                <w:color w:val="008000"/>
                <w:sz w:val="18"/>
                <w:szCs w:val="22"/>
              </w:rPr>
              <w:t>PSCell</w:t>
            </w:r>
            <w:proofErr w:type="spellEnd"/>
            <w:r w:rsidRPr="00880A29">
              <w:rPr>
                <w:b/>
                <w:bCs/>
                <w:color w:val="008000"/>
                <w:sz w:val="18"/>
                <w:szCs w:val="22"/>
              </w:rPr>
              <w:t xml:space="preserve"> change configuration and associated mobility thresholds</w:t>
            </w:r>
          </w:p>
          <w:p w14:paraId="53FD3F80" w14:textId="77777777" w:rsidR="00382602" w:rsidRPr="00880A29" w:rsidRDefault="00382602" w:rsidP="00382602">
            <w:pPr>
              <w:pStyle w:val="ListParagraph3"/>
              <w:numPr>
                <w:ilvl w:val="0"/>
                <w:numId w:val="25"/>
              </w:numPr>
              <w:spacing w:after="160" w:line="256" w:lineRule="auto"/>
              <w:contextualSpacing w:val="0"/>
              <w:rPr>
                <w:b/>
                <w:color w:val="008000"/>
                <w:sz w:val="18"/>
                <w:szCs w:val="22"/>
              </w:rPr>
            </w:pPr>
            <w:r w:rsidRPr="00880A29">
              <w:rPr>
                <w:b/>
                <w:bCs/>
                <w:color w:val="008000"/>
                <w:sz w:val="18"/>
                <w:szCs w:val="22"/>
              </w:rPr>
              <w:t>Source SN is responsible to optimize lower layer issues (e.g., optimize T310/T312 timer values)</w:t>
            </w:r>
          </w:p>
          <w:p w14:paraId="3579E379" w14:textId="77777777" w:rsidR="00382602" w:rsidRPr="00880A29" w:rsidRDefault="00382602" w:rsidP="00382602">
            <w:pPr>
              <w:rPr>
                <w:b/>
                <w:bCs/>
                <w:color w:val="008000"/>
                <w:sz w:val="18"/>
              </w:rPr>
            </w:pPr>
            <w:r w:rsidRPr="00880A29">
              <w:rPr>
                <w:b/>
                <w:bCs/>
                <w:color w:val="008000"/>
                <w:sz w:val="18"/>
              </w:rPr>
              <w:t xml:space="preserve">In case of SN initiated </w:t>
            </w:r>
            <w:proofErr w:type="spellStart"/>
            <w:r w:rsidRPr="00880A29">
              <w:rPr>
                <w:b/>
                <w:bCs/>
                <w:color w:val="008000"/>
                <w:sz w:val="18"/>
              </w:rPr>
              <w:t>PSCell</w:t>
            </w:r>
            <w:proofErr w:type="spellEnd"/>
            <w:r w:rsidRPr="00880A29">
              <w:rPr>
                <w:b/>
                <w:bCs/>
                <w:color w:val="008000"/>
                <w:sz w:val="18"/>
              </w:rPr>
              <w:t xml:space="preserve"> change, </w:t>
            </w:r>
          </w:p>
          <w:p w14:paraId="201867DC" w14:textId="77777777" w:rsidR="00382602" w:rsidRPr="00880A29" w:rsidRDefault="00382602" w:rsidP="00382602">
            <w:pPr>
              <w:pStyle w:val="ListParagraph3"/>
              <w:numPr>
                <w:ilvl w:val="0"/>
                <w:numId w:val="26"/>
              </w:numPr>
              <w:spacing w:after="160" w:line="256" w:lineRule="auto"/>
              <w:rPr>
                <w:rFonts w:eastAsia="MS Mincho"/>
                <w:b/>
                <w:bCs/>
                <w:color w:val="008000"/>
                <w:sz w:val="18"/>
                <w:szCs w:val="22"/>
              </w:rPr>
            </w:pPr>
            <w:r w:rsidRPr="00880A29">
              <w:rPr>
                <w:rFonts w:eastAsia="MS Mincho"/>
                <w:b/>
                <w:bCs/>
                <w:color w:val="008000"/>
                <w:sz w:val="18"/>
                <w:szCs w:val="22"/>
              </w:rPr>
              <w:t xml:space="preserve">Source SN may send the SN Mobility Information to MN via SN Change Required </w:t>
            </w:r>
            <w:proofErr w:type="gramStart"/>
            <w:r w:rsidRPr="00880A29">
              <w:rPr>
                <w:rFonts w:eastAsia="MS Mincho"/>
                <w:b/>
                <w:bCs/>
                <w:color w:val="008000"/>
                <w:sz w:val="18"/>
                <w:szCs w:val="22"/>
              </w:rPr>
              <w:t>message  (</w:t>
            </w:r>
            <w:proofErr w:type="gramEnd"/>
            <w:r w:rsidRPr="00880A29">
              <w:rPr>
                <w:rFonts w:eastAsia="MS Mincho"/>
                <w:b/>
                <w:bCs/>
                <w:color w:val="008000"/>
                <w:sz w:val="18"/>
                <w:szCs w:val="22"/>
              </w:rPr>
              <w:t>already supported by existing specifications)</w:t>
            </w:r>
          </w:p>
          <w:p w14:paraId="635520A9" w14:textId="77777777" w:rsidR="00382602" w:rsidRPr="00880A29" w:rsidRDefault="00382602" w:rsidP="00382602">
            <w:pPr>
              <w:pStyle w:val="ListParagraph3"/>
              <w:numPr>
                <w:ilvl w:val="0"/>
                <w:numId w:val="26"/>
              </w:numPr>
              <w:spacing w:after="160" w:line="256" w:lineRule="auto"/>
              <w:rPr>
                <w:rFonts w:eastAsia="MS Mincho"/>
                <w:b/>
                <w:bCs/>
                <w:color w:val="008000"/>
                <w:sz w:val="18"/>
                <w:szCs w:val="22"/>
              </w:rPr>
            </w:pPr>
            <w:r w:rsidRPr="00880A29">
              <w:rPr>
                <w:rFonts w:eastAsia="MS Mincho"/>
                <w:b/>
                <w:bCs/>
                <w:color w:val="008000"/>
                <w:sz w:val="18"/>
                <w:szCs w:val="22"/>
              </w:rPr>
              <w:t>Target SN may send the SN Mobility Information to MN in SN Addition Request Acknowledge message</w:t>
            </w:r>
          </w:p>
          <w:p w14:paraId="53D2E702" w14:textId="77777777" w:rsidR="00382602" w:rsidRPr="00880A29" w:rsidRDefault="00382602" w:rsidP="00382602">
            <w:pPr>
              <w:pStyle w:val="ListParagraph3"/>
              <w:numPr>
                <w:ilvl w:val="0"/>
                <w:numId w:val="26"/>
              </w:numPr>
              <w:spacing w:after="160" w:line="256" w:lineRule="auto"/>
              <w:rPr>
                <w:rFonts w:eastAsia="MS Mincho"/>
                <w:b/>
                <w:bCs/>
                <w:color w:val="008000"/>
                <w:sz w:val="18"/>
                <w:szCs w:val="22"/>
              </w:rPr>
            </w:pPr>
            <w:r w:rsidRPr="00880A29">
              <w:rPr>
                <w:rFonts w:eastAsia="MS Mincho"/>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880A29">
              <w:rPr>
                <w:rFonts w:eastAsia="MS Mincho"/>
                <w:b/>
                <w:bCs/>
                <w:color w:val="008000"/>
                <w:sz w:val="18"/>
                <w:szCs w:val="22"/>
              </w:rPr>
              <w:t>XnAP</w:t>
            </w:r>
            <w:proofErr w:type="spellEnd"/>
          </w:p>
          <w:p w14:paraId="5CF51BFB" w14:textId="77777777" w:rsidR="00382602" w:rsidRPr="00880A29" w:rsidRDefault="00382602" w:rsidP="00382602">
            <w:pPr>
              <w:rPr>
                <w:b/>
                <w:bCs/>
                <w:color w:val="008000"/>
                <w:sz w:val="18"/>
              </w:rPr>
            </w:pPr>
            <w:r w:rsidRPr="00880A29">
              <w:rPr>
                <w:b/>
                <w:bCs/>
                <w:color w:val="008000"/>
                <w:sz w:val="18"/>
              </w:rPr>
              <w:t xml:space="preserve">In case of MN initiated </w:t>
            </w:r>
            <w:proofErr w:type="spellStart"/>
            <w:r w:rsidRPr="00880A29">
              <w:rPr>
                <w:b/>
                <w:bCs/>
                <w:color w:val="008000"/>
                <w:sz w:val="18"/>
              </w:rPr>
              <w:t>PSCell</w:t>
            </w:r>
            <w:proofErr w:type="spellEnd"/>
            <w:r w:rsidRPr="00880A29">
              <w:rPr>
                <w:b/>
                <w:bCs/>
                <w:color w:val="008000"/>
                <w:sz w:val="18"/>
              </w:rPr>
              <w:t xml:space="preserve"> change, </w:t>
            </w:r>
          </w:p>
          <w:p w14:paraId="423F475F" w14:textId="77777777" w:rsidR="00382602" w:rsidRPr="00880A29" w:rsidRDefault="00382602" w:rsidP="00382602">
            <w:pPr>
              <w:pStyle w:val="ListParagraph3"/>
              <w:numPr>
                <w:ilvl w:val="0"/>
                <w:numId w:val="27"/>
              </w:numPr>
              <w:spacing w:after="160" w:line="256" w:lineRule="auto"/>
              <w:rPr>
                <w:rFonts w:eastAsia="MS Mincho"/>
                <w:b/>
                <w:bCs/>
                <w:color w:val="008000"/>
                <w:sz w:val="18"/>
                <w:szCs w:val="22"/>
              </w:rPr>
            </w:pPr>
            <w:r w:rsidRPr="00880A29">
              <w:rPr>
                <w:rFonts w:eastAsia="MS Mincho"/>
                <w:b/>
                <w:bCs/>
                <w:color w:val="008000"/>
                <w:sz w:val="18"/>
                <w:szCs w:val="22"/>
              </w:rPr>
              <w:t xml:space="preserve">Source SN may send the SN Mobility Information to MN via SN Release Request Acknowledge </w:t>
            </w:r>
          </w:p>
          <w:p w14:paraId="10A1E387" w14:textId="77777777" w:rsidR="00382602" w:rsidRPr="00880A29" w:rsidRDefault="00382602" w:rsidP="00382602">
            <w:pPr>
              <w:pStyle w:val="ListParagraph3"/>
              <w:numPr>
                <w:ilvl w:val="0"/>
                <w:numId w:val="27"/>
              </w:numPr>
              <w:spacing w:after="160" w:line="256" w:lineRule="auto"/>
              <w:rPr>
                <w:rFonts w:eastAsia="MS Mincho"/>
                <w:b/>
                <w:bCs/>
                <w:color w:val="008000"/>
                <w:sz w:val="18"/>
                <w:szCs w:val="22"/>
              </w:rPr>
            </w:pPr>
            <w:r w:rsidRPr="00880A29">
              <w:rPr>
                <w:rFonts w:eastAsia="MS Mincho"/>
                <w:b/>
                <w:bCs/>
                <w:color w:val="008000"/>
                <w:sz w:val="18"/>
                <w:szCs w:val="22"/>
              </w:rPr>
              <w:t>Target SN may send the SN Mobility Information to MN in SN Addition Request Acknowledge message</w:t>
            </w:r>
          </w:p>
          <w:p w14:paraId="2DA2679E" w14:textId="77777777" w:rsidR="00382602" w:rsidRPr="000C2CE6" w:rsidRDefault="00382602" w:rsidP="00382602">
            <w:pPr>
              <w:pStyle w:val="ListParagraph3"/>
              <w:numPr>
                <w:ilvl w:val="0"/>
                <w:numId w:val="27"/>
              </w:numPr>
              <w:spacing w:after="160" w:line="256" w:lineRule="auto"/>
              <w:rPr>
                <w:rFonts w:eastAsia="MS Mincho"/>
                <w:b/>
                <w:bCs/>
                <w:color w:val="008000"/>
                <w:sz w:val="18"/>
                <w:szCs w:val="22"/>
              </w:rPr>
            </w:pPr>
            <w:r w:rsidRPr="00880A29">
              <w:rPr>
                <w:rFonts w:eastAsia="MS Mincho"/>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880A29">
              <w:rPr>
                <w:rFonts w:eastAsia="MS Mincho"/>
                <w:b/>
                <w:bCs/>
                <w:color w:val="008000"/>
                <w:sz w:val="18"/>
                <w:szCs w:val="22"/>
              </w:rPr>
              <w:t>XnAP</w:t>
            </w:r>
            <w:proofErr w:type="spellEnd"/>
          </w:p>
          <w:p w14:paraId="4ABA8BC5" w14:textId="662487C9" w:rsidR="00CE6E79" w:rsidRPr="005C5893" w:rsidRDefault="00CE6E79" w:rsidP="00CE6E79">
            <w:pPr>
              <w:rPr>
                <w:rFonts w:ascii="Calibri" w:hAnsi="Calibri" w:cs="Calibri"/>
                <w:b/>
                <w:color w:val="0000FF"/>
                <w:sz w:val="18"/>
                <w:szCs w:val="24"/>
              </w:rPr>
            </w:pPr>
          </w:p>
        </w:tc>
      </w:tr>
    </w:tbl>
    <w:p w14:paraId="6DC57EEA" w14:textId="04A0B794" w:rsidR="002B0CFE" w:rsidRPr="00783749" w:rsidRDefault="005C5893" w:rsidP="00783749">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In this </w:t>
      </w:r>
      <w:proofErr w:type="spellStart"/>
      <w:r>
        <w:rPr>
          <w:rFonts w:asciiTheme="minorHAnsi" w:eastAsiaTheme="minorEastAsia" w:hAnsiTheme="minorHAnsi" w:cstheme="minorHAnsi"/>
          <w:lang w:eastAsia="zh-CN"/>
        </w:rPr>
        <w:t>tdoc</w:t>
      </w:r>
      <w:proofErr w:type="spellEnd"/>
      <w:r>
        <w:rPr>
          <w:rFonts w:asciiTheme="minorHAnsi" w:eastAsiaTheme="minorEastAsia" w:hAnsiTheme="minorHAnsi" w:cstheme="minorHAnsi"/>
          <w:lang w:eastAsia="zh-CN"/>
        </w:rPr>
        <w:t>, we will further address those remaining issues for inter-RAT SHR</w:t>
      </w:r>
      <w:r w:rsidR="00D265F4">
        <w:rPr>
          <w:rFonts w:asciiTheme="minorHAnsi" w:eastAsiaTheme="minorEastAsia" w:hAnsiTheme="minorHAnsi" w:cstheme="minorHAnsi"/>
          <w:lang w:eastAsia="zh-CN"/>
        </w:rPr>
        <w:t xml:space="preserve"> </w:t>
      </w:r>
    </w:p>
    <w:p w14:paraId="11968D4C" w14:textId="0F6C8186" w:rsidR="007F3E85" w:rsidRDefault="00501135" w:rsidP="007F3E85">
      <w:pPr>
        <w:pStyle w:val="1"/>
        <w:rPr>
          <w:rFonts w:asciiTheme="minorHAnsi" w:hAnsiTheme="minorHAnsi" w:cstheme="minorHAnsi"/>
        </w:rPr>
      </w:pPr>
      <w:bookmarkStart w:id="10" w:name="_Toc527283430"/>
      <w:bookmarkStart w:id="11" w:name="_Toc527283647"/>
      <w:bookmarkStart w:id="12" w:name="_Toc527283676"/>
      <w:bookmarkStart w:id="13" w:name="_Toc527283741"/>
      <w:bookmarkStart w:id="14" w:name="_Toc527283745"/>
      <w:bookmarkStart w:id="15" w:name="_Toc527283906"/>
      <w:bookmarkStart w:id="16" w:name="_Toc527283923"/>
      <w:bookmarkStart w:id="17" w:name="_Toc126137454"/>
      <w:bookmarkStart w:id="18" w:name="_Toc126137559"/>
      <w:r w:rsidRPr="007A1EB3">
        <w:rPr>
          <w:rFonts w:asciiTheme="minorHAnsi" w:hAnsiTheme="minorHAnsi" w:cstheme="minorHAnsi"/>
        </w:rPr>
        <w:t>2</w:t>
      </w:r>
      <w:r w:rsidRPr="007A1EB3">
        <w:rPr>
          <w:rFonts w:asciiTheme="minorHAnsi" w:hAnsiTheme="minorHAnsi" w:cstheme="minorHAnsi"/>
        </w:rPr>
        <w:tab/>
        <w:t>Discussion</w:t>
      </w:r>
      <w:bookmarkStart w:id="19" w:name="_Toc527283432"/>
      <w:bookmarkStart w:id="20" w:name="_Toc527283649"/>
      <w:bookmarkStart w:id="21" w:name="_Toc527283678"/>
      <w:bookmarkStart w:id="22" w:name="_Toc527283742"/>
      <w:bookmarkStart w:id="23" w:name="_Toc527283746"/>
      <w:bookmarkStart w:id="24" w:name="_Toc527283908"/>
      <w:bookmarkStart w:id="25" w:name="_Toc527283925"/>
      <w:bookmarkStart w:id="26" w:name="_Toc126137455"/>
      <w:bookmarkStart w:id="27" w:name="_Toc126137560"/>
      <w:bookmarkStart w:id="28" w:name="_Hlk16664956"/>
      <w:bookmarkEnd w:id="10"/>
      <w:bookmarkEnd w:id="11"/>
      <w:bookmarkEnd w:id="12"/>
      <w:bookmarkEnd w:id="13"/>
      <w:bookmarkEnd w:id="14"/>
      <w:bookmarkEnd w:id="15"/>
      <w:bookmarkEnd w:id="16"/>
      <w:bookmarkEnd w:id="17"/>
      <w:bookmarkEnd w:id="18"/>
    </w:p>
    <w:p w14:paraId="59450D24" w14:textId="4EA2E00F" w:rsidR="00D265F4" w:rsidRDefault="005C5893" w:rsidP="002C6A9C">
      <w:pPr>
        <w:jc w:val="both"/>
        <w:rPr>
          <w:rFonts w:asciiTheme="minorHAnsi" w:eastAsiaTheme="minorEastAsia" w:hAnsiTheme="minorHAnsi" w:cstheme="minorHAnsi"/>
          <w:lang w:val="en-US" w:eastAsia="zh-CN"/>
        </w:rPr>
      </w:pPr>
      <w:r>
        <w:rPr>
          <w:rFonts w:asciiTheme="minorHAnsi" w:eastAsiaTheme="minorEastAsia" w:hAnsiTheme="minorHAnsi" w:cstheme="minorHAnsi" w:hint="cs"/>
          <w:lang w:val="en-US" w:eastAsia="zh-CN"/>
        </w:rPr>
        <w:t>F</w:t>
      </w:r>
      <w:r>
        <w:rPr>
          <w:rFonts w:asciiTheme="minorHAnsi" w:eastAsiaTheme="minorEastAsia" w:hAnsiTheme="minorHAnsi" w:cstheme="minorHAnsi"/>
          <w:lang w:val="en-US" w:eastAsia="zh-CN"/>
        </w:rPr>
        <w:t>irstly, one of the remaining issues is if NR SHR container provide to the ng-</w:t>
      </w:r>
      <w:proofErr w:type="spellStart"/>
      <w:r>
        <w:rPr>
          <w:rFonts w:asciiTheme="minorHAnsi" w:eastAsiaTheme="minorEastAsia" w:hAnsiTheme="minorHAnsi" w:cstheme="minorHAnsi"/>
          <w:lang w:val="en-US" w:eastAsia="zh-CN"/>
        </w:rPr>
        <w:t>eNB</w:t>
      </w:r>
      <w:proofErr w:type="spellEnd"/>
      <w:r>
        <w:rPr>
          <w:rFonts w:asciiTheme="minorHAnsi" w:eastAsiaTheme="minorEastAsia" w:hAnsiTheme="minorHAnsi" w:cstheme="minorHAnsi"/>
          <w:lang w:val="en-US" w:eastAsia="zh-CN"/>
        </w:rPr>
        <w:t>, then the node should be enhanced to support decode NR format report. Therefore, how to correlate NR SHR and LTE RLF report in case there is a RLF shortly after a successful inter-RAT HO from NR to LTE, should be specified.</w:t>
      </w:r>
    </w:p>
    <w:p w14:paraId="597A7730" w14:textId="0F0C37D9" w:rsidR="005C5893" w:rsidRDefault="005C5893" w:rsidP="002C6A9C">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Mainly there are three options can be considered:</w:t>
      </w:r>
    </w:p>
    <w:p w14:paraId="62C72B10" w14:textId="35D862CC" w:rsidR="005C5893" w:rsidRDefault="005C5893" w:rsidP="002C6A9C">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Alt1- Correlation in target </w:t>
      </w:r>
      <w:proofErr w:type="spellStart"/>
      <w:r>
        <w:rPr>
          <w:rFonts w:asciiTheme="minorHAnsi" w:eastAsiaTheme="minorEastAsia" w:hAnsiTheme="minorHAnsi" w:cstheme="minorHAnsi"/>
          <w:lang w:val="en-US" w:eastAsia="zh-CN"/>
        </w:rPr>
        <w:t>eNB</w:t>
      </w:r>
      <w:proofErr w:type="spellEnd"/>
      <w:r w:rsidR="0007159B">
        <w:rPr>
          <w:rFonts w:asciiTheme="minorHAnsi" w:eastAsiaTheme="minorEastAsia" w:hAnsiTheme="minorHAnsi" w:cstheme="minorHAnsi"/>
          <w:lang w:val="en-US" w:eastAsia="zh-CN"/>
        </w:rPr>
        <w:t xml:space="preserve">, which is similar to the correlation mechanism as Rel-17 intra-NR SHR. However, the drawback is target </w:t>
      </w:r>
      <w:proofErr w:type="spellStart"/>
      <w:r w:rsidR="0007159B">
        <w:rPr>
          <w:rFonts w:asciiTheme="minorHAnsi" w:eastAsiaTheme="minorEastAsia" w:hAnsiTheme="minorHAnsi" w:cstheme="minorHAnsi"/>
          <w:lang w:val="en-US" w:eastAsia="zh-CN"/>
        </w:rPr>
        <w:t>eNB</w:t>
      </w:r>
      <w:proofErr w:type="spellEnd"/>
      <w:r w:rsidR="0007159B">
        <w:rPr>
          <w:rFonts w:asciiTheme="minorHAnsi" w:eastAsiaTheme="minorEastAsia" w:hAnsiTheme="minorHAnsi" w:cstheme="minorHAnsi"/>
          <w:lang w:val="en-US" w:eastAsia="zh-CN"/>
        </w:rPr>
        <w:t xml:space="preserve"> might not be able to correlate in case only one of the reports is retrieved since it does not know how long to hold a certain report just for correlation purpose.</w:t>
      </w:r>
    </w:p>
    <w:p w14:paraId="49530353" w14:textId="6F9B0A21" w:rsidR="0007159B" w:rsidRDefault="0007159B" w:rsidP="002C6A9C">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Alt2- Correlation in source </w:t>
      </w:r>
      <w:proofErr w:type="spellStart"/>
      <w:r>
        <w:rPr>
          <w:rFonts w:asciiTheme="minorHAnsi" w:eastAsiaTheme="minorEastAsia" w:hAnsiTheme="minorHAnsi" w:cstheme="minorHAnsi"/>
          <w:lang w:val="en-US" w:eastAsia="zh-CN"/>
        </w:rPr>
        <w:t>gNB</w:t>
      </w:r>
      <w:proofErr w:type="spellEnd"/>
      <w:r>
        <w:rPr>
          <w:rFonts w:asciiTheme="minorHAnsi" w:eastAsiaTheme="minorEastAsia" w:hAnsiTheme="minorHAnsi" w:cstheme="minorHAnsi"/>
          <w:lang w:val="en-US" w:eastAsia="zh-CN"/>
        </w:rPr>
        <w:t>, which is different correlation mechanism from Rel-17 intra-NR SHR so that might cause more discussion. In addition, even if UE reports source C-RNTI in SHR, it is still hard to correlate the source C-RNTI in SHR and target C-RNTI in RLF report.</w:t>
      </w:r>
    </w:p>
    <w:p w14:paraId="29E08A14" w14:textId="5028042A" w:rsidR="0007159B" w:rsidRDefault="0007159B" w:rsidP="002C6A9C">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Alt3- No correlation needed. Since in Rel-18, only T310/T312 is supported for the source NR node. Then the inter-RAT SHR from NR to LTE is mainly to optimize RLM/BFD configurations in the source NR node, so tight correlation is not needed between the NR node configuration with the RLF in target </w:t>
      </w:r>
      <w:proofErr w:type="spellStart"/>
      <w:r>
        <w:rPr>
          <w:rFonts w:asciiTheme="minorHAnsi" w:eastAsiaTheme="minorEastAsia" w:hAnsiTheme="minorHAnsi" w:cstheme="minorHAnsi"/>
          <w:lang w:val="en-US" w:eastAsia="zh-CN"/>
        </w:rPr>
        <w:t>eNB</w:t>
      </w:r>
      <w:proofErr w:type="spellEnd"/>
      <w:r>
        <w:rPr>
          <w:rFonts w:asciiTheme="minorHAnsi" w:eastAsiaTheme="minorEastAsia" w:hAnsiTheme="minorHAnsi" w:cstheme="minorHAnsi"/>
          <w:lang w:val="en-US" w:eastAsia="zh-CN"/>
        </w:rPr>
        <w:t xml:space="preserve"> node. Furthermore, some unnecessary enhancement for </w:t>
      </w:r>
      <w:proofErr w:type="spellStart"/>
      <w:r>
        <w:rPr>
          <w:rFonts w:asciiTheme="minorHAnsi" w:eastAsiaTheme="minorEastAsia" w:hAnsiTheme="minorHAnsi" w:cstheme="minorHAnsi"/>
          <w:lang w:val="en-US" w:eastAsia="zh-CN"/>
        </w:rPr>
        <w:t>eNB</w:t>
      </w:r>
      <w:proofErr w:type="spellEnd"/>
      <w:r>
        <w:rPr>
          <w:rFonts w:asciiTheme="minorHAnsi" w:eastAsiaTheme="minorEastAsia" w:hAnsiTheme="minorHAnsi" w:cstheme="minorHAnsi"/>
          <w:lang w:val="en-US" w:eastAsia="zh-CN"/>
        </w:rPr>
        <w:t xml:space="preserve"> node should be applied if to put the target C-RNTI inside the NR SHR container. Last but not least, unnecessary enhancement on LTE node would be applied since the target </w:t>
      </w:r>
      <w:proofErr w:type="spellStart"/>
      <w:r>
        <w:rPr>
          <w:rFonts w:asciiTheme="minorHAnsi" w:eastAsiaTheme="minorEastAsia" w:hAnsiTheme="minorHAnsi" w:cstheme="minorHAnsi"/>
          <w:lang w:val="en-US" w:eastAsia="zh-CN"/>
        </w:rPr>
        <w:t>eNB</w:t>
      </w:r>
      <w:proofErr w:type="spellEnd"/>
      <w:r>
        <w:rPr>
          <w:rFonts w:asciiTheme="minorHAnsi" w:eastAsiaTheme="minorEastAsia" w:hAnsiTheme="minorHAnsi" w:cstheme="minorHAnsi"/>
          <w:lang w:val="en-US" w:eastAsia="zh-CN"/>
        </w:rPr>
        <w:t xml:space="preserve"> should send the inter-RAT SHR report to source NR node.</w:t>
      </w:r>
    </w:p>
    <w:p w14:paraId="2A349A72" w14:textId="0E4E9CCA" w:rsidR="002C6A9C" w:rsidRDefault="002C6A9C" w:rsidP="002C6A9C">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Therefore, considering both alt-1 and alt-2 are not perfect solutions and further enhancement needs more effort to discuss, we do not think the correlation between NR SHR and LTE RLF report is needed.</w:t>
      </w:r>
    </w:p>
    <w:p w14:paraId="78E1B4AA" w14:textId="2C281E4E" w:rsidR="002C6A9C" w:rsidRDefault="002C6A9C" w:rsidP="002C6A9C">
      <w:pPr>
        <w:pStyle w:val="ProposalStyle"/>
        <w:rPr>
          <w:lang w:val="en-US"/>
        </w:rPr>
      </w:pPr>
      <w:bookmarkStart w:id="29" w:name="_Toc131670322"/>
      <w:bookmarkStart w:id="30" w:name="_Toc131670338"/>
      <w:bookmarkStart w:id="31" w:name="_Toc131670396"/>
      <w:bookmarkStart w:id="32" w:name="_Toc134545980"/>
      <w:r>
        <w:rPr>
          <w:rFonts w:hint="eastAsia"/>
          <w:lang w:val="en-US"/>
        </w:rPr>
        <w:t>N</w:t>
      </w:r>
      <w:r>
        <w:rPr>
          <w:lang w:val="en-US"/>
        </w:rPr>
        <w:t xml:space="preserve">o need to correlate NR SHR and LTE RLF report for either source </w:t>
      </w:r>
      <w:proofErr w:type="spellStart"/>
      <w:r>
        <w:rPr>
          <w:lang w:val="en-US"/>
        </w:rPr>
        <w:t>gNB</w:t>
      </w:r>
      <w:proofErr w:type="spellEnd"/>
      <w:r>
        <w:rPr>
          <w:lang w:val="en-US"/>
        </w:rPr>
        <w:t xml:space="preserve"> or target </w:t>
      </w:r>
      <w:proofErr w:type="spellStart"/>
      <w:r>
        <w:rPr>
          <w:lang w:val="en-US"/>
        </w:rPr>
        <w:t>eNB</w:t>
      </w:r>
      <w:proofErr w:type="spellEnd"/>
      <w:r>
        <w:rPr>
          <w:lang w:val="en-US"/>
        </w:rPr>
        <w:t>.</w:t>
      </w:r>
      <w:bookmarkEnd w:id="29"/>
      <w:bookmarkEnd w:id="30"/>
      <w:bookmarkEnd w:id="31"/>
      <w:bookmarkEnd w:id="32"/>
    </w:p>
    <w:p w14:paraId="1A1F57FA" w14:textId="56EAF574" w:rsidR="00AF50D6" w:rsidRPr="00363DCE" w:rsidRDefault="003326B9" w:rsidP="00363DCE">
      <w:pPr>
        <w:rPr>
          <w:rFonts w:asciiTheme="minorHAnsi" w:hAnsiTheme="minorHAnsi" w:cstheme="minorHAnsi"/>
        </w:rPr>
      </w:pPr>
      <w:bookmarkStart w:id="33" w:name="_Toc134545981"/>
      <w:r w:rsidRPr="00363DCE">
        <w:rPr>
          <w:rFonts w:asciiTheme="minorHAnsi" w:hAnsiTheme="minorHAnsi" w:cstheme="minorHAnsi"/>
        </w:rPr>
        <w:t>During last meeting, one of the WA was made which needs to be further confirmed:</w:t>
      </w:r>
      <w:bookmarkEnd w:id="33"/>
    </w:p>
    <w:p w14:paraId="72035E16" w14:textId="77777777" w:rsidR="003326B9" w:rsidRPr="00363DCE" w:rsidRDefault="003326B9" w:rsidP="00363DCE">
      <w:pPr>
        <w:rPr>
          <w:rFonts w:asciiTheme="minorHAnsi" w:hAnsiTheme="minorHAnsi" w:cstheme="minorHAnsi"/>
        </w:rPr>
      </w:pPr>
      <w:r w:rsidRPr="00363DCE">
        <w:rPr>
          <w:rFonts w:asciiTheme="minorHAnsi" w:hAnsiTheme="minorHAnsi" w:cstheme="minorHAnsi"/>
        </w:rPr>
        <w:t>WA: The triggers for SPR should be represented in terms of percentage values (similar to SHR)</w:t>
      </w:r>
    </w:p>
    <w:p w14:paraId="0ED73B1C" w14:textId="5537CE16" w:rsidR="003326B9" w:rsidRPr="00363DCE" w:rsidRDefault="003326B9" w:rsidP="00363DCE">
      <w:pPr>
        <w:rPr>
          <w:rFonts w:asciiTheme="minorHAnsi" w:hAnsiTheme="minorHAnsi" w:cstheme="minorHAnsi"/>
        </w:rPr>
      </w:pPr>
      <w:bookmarkStart w:id="34" w:name="_Toc134545982"/>
      <w:r w:rsidRPr="00363DCE">
        <w:rPr>
          <w:rFonts w:asciiTheme="minorHAnsi" w:hAnsiTheme="minorHAnsi" w:cstheme="minorHAnsi"/>
        </w:rPr>
        <w:lastRenderedPageBreak/>
        <w:t xml:space="preserve">From our view, </w:t>
      </w:r>
      <w:r w:rsidR="00D345C5" w:rsidRPr="00363DCE">
        <w:rPr>
          <w:rFonts w:asciiTheme="minorHAnsi" w:hAnsiTheme="minorHAnsi" w:cstheme="minorHAnsi"/>
        </w:rPr>
        <w:t xml:space="preserve">it is actually the legacy, where </w:t>
      </w:r>
      <w:r w:rsidR="001A1B48" w:rsidRPr="00363DCE">
        <w:rPr>
          <w:rFonts w:asciiTheme="minorHAnsi" w:hAnsiTheme="minorHAnsi" w:cstheme="minorHAnsi"/>
        </w:rPr>
        <w:t>there is no blocking issue to reuse such design. Thus, it is suggested to confirm the working assumption.</w:t>
      </w:r>
      <w:bookmarkEnd w:id="34"/>
    </w:p>
    <w:p w14:paraId="58EA06D9" w14:textId="17C2B18C" w:rsidR="001A1B48" w:rsidRPr="003326B9" w:rsidRDefault="001A1B48" w:rsidP="001A1B48">
      <w:pPr>
        <w:pStyle w:val="ProposalStyle"/>
      </w:pPr>
      <w:bookmarkStart w:id="35" w:name="_Toc134545983"/>
      <w:r>
        <w:rPr>
          <w:rFonts w:hint="eastAsia"/>
        </w:rPr>
        <w:t>R</w:t>
      </w:r>
      <w:r>
        <w:t xml:space="preserve">AN3 </w:t>
      </w:r>
      <w:r w:rsidR="00363DCE">
        <w:t>shall confirm the below WA:</w:t>
      </w:r>
      <w:r w:rsidR="00363DCE" w:rsidRPr="00363DCE">
        <w:t xml:space="preserve"> The triggers for SPR should be represented in terms of percentage values (similar to SHR)</w:t>
      </w:r>
      <w:r w:rsidR="00363DCE">
        <w:t>.</w:t>
      </w:r>
      <w:bookmarkEnd w:id="35"/>
    </w:p>
    <w:p w14:paraId="591324FC" w14:textId="77777777" w:rsidR="00501135" w:rsidRPr="007A1EB3" w:rsidRDefault="00501135">
      <w:pPr>
        <w:pStyle w:val="1"/>
        <w:rPr>
          <w:rFonts w:asciiTheme="minorHAnsi" w:hAnsiTheme="minorHAnsi" w:cstheme="minorHAnsi"/>
        </w:rPr>
      </w:pPr>
      <w:r w:rsidRPr="007A1EB3">
        <w:rPr>
          <w:rFonts w:asciiTheme="minorHAnsi" w:hAnsiTheme="minorHAnsi" w:cstheme="minorHAnsi"/>
        </w:rPr>
        <w:t>3</w:t>
      </w:r>
      <w:r w:rsidRPr="007A1EB3">
        <w:rPr>
          <w:rFonts w:asciiTheme="minorHAnsi" w:hAnsiTheme="minorHAnsi" w:cstheme="minorHAnsi"/>
        </w:rPr>
        <w:tab/>
      </w:r>
      <w:r w:rsidR="0001024C" w:rsidRPr="007A1EB3">
        <w:rPr>
          <w:rFonts w:asciiTheme="minorHAnsi" w:hAnsiTheme="minorHAnsi" w:cstheme="minorHAnsi"/>
        </w:rPr>
        <w:t>Conclusion and Proposals</w:t>
      </w:r>
      <w:bookmarkEnd w:id="19"/>
      <w:bookmarkEnd w:id="20"/>
      <w:bookmarkEnd w:id="21"/>
      <w:bookmarkEnd w:id="22"/>
      <w:bookmarkEnd w:id="23"/>
      <w:bookmarkEnd w:id="24"/>
      <w:bookmarkEnd w:id="25"/>
      <w:bookmarkEnd w:id="26"/>
      <w:bookmarkEnd w:id="27"/>
    </w:p>
    <w:p w14:paraId="3E02E4C0" w14:textId="26C4F4C2" w:rsidR="00CD7395" w:rsidRDefault="003925AA" w:rsidP="00CA311A">
      <w:pPr>
        <w:pStyle w:val="Eyecatcher"/>
        <w:ind w:left="0" w:firstLine="0"/>
        <w:jc w:val="both"/>
        <w:rPr>
          <w:rFonts w:asciiTheme="minorHAnsi" w:eastAsiaTheme="minorEastAsia" w:hAnsiTheme="minorHAnsi" w:cstheme="minorHAnsi"/>
          <w:b w:val="0"/>
          <w:kern w:val="2"/>
          <w:sz w:val="21"/>
          <w:lang w:eastAsia="zh-CN"/>
        </w:rPr>
      </w:pPr>
      <w:r>
        <w:rPr>
          <w:rFonts w:asciiTheme="minorHAnsi" w:eastAsiaTheme="minorEastAsia" w:hAnsiTheme="minorHAnsi" w:cstheme="minorHAnsi" w:hint="eastAsia"/>
          <w:b w:val="0"/>
          <w:kern w:val="2"/>
          <w:sz w:val="21"/>
          <w:lang w:eastAsia="zh-CN"/>
        </w:rPr>
        <w:t>I</w:t>
      </w:r>
      <w:r>
        <w:rPr>
          <w:rFonts w:asciiTheme="minorHAnsi" w:eastAsiaTheme="minorEastAsia" w:hAnsiTheme="minorHAnsi" w:cstheme="minorHAnsi"/>
          <w:b w:val="0"/>
          <w:kern w:val="2"/>
          <w:sz w:val="21"/>
          <w:lang w:eastAsia="zh-CN"/>
        </w:rPr>
        <w:t xml:space="preserve">n this contribution, we have analysed </w:t>
      </w:r>
      <w:r w:rsidR="00AF50D6">
        <w:rPr>
          <w:rFonts w:asciiTheme="minorHAnsi" w:eastAsiaTheme="minorEastAsia" w:hAnsiTheme="minorHAnsi" w:cstheme="minorHAnsi"/>
          <w:b w:val="0"/>
          <w:kern w:val="2"/>
          <w:sz w:val="21"/>
          <w:lang w:eastAsia="zh-CN"/>
        </w:rPr>
        <w:t>the left issues for inter-RAT SHR, and the following proposals are given out:</w:t>
      </w:r>
    </w:p>
    <w:p w14:paraId="636E555A" w14:textId="77777777" w:rsidR="00363DCE" w:rsidRPr="00363DCE" w:rsidRDefault="00783749">
      <w:pPr>
        <w:pStyle w:val="TOC1"/>
        <w:tabs>
          <w:tab w:val="left" w:pos="1260"/>
          <w:tab w:val="right" w:leader="dot" w:pos="9962"/>
        </w:tabs>
        <w:rPr>
          <w:rFonts w:asciiTheme="minorHAnsi" w:eastAsiaTheme="minorEastAsia" w:hAnsiTheme="minorHAnsi" w:cstheme="minorBidi"/>
          <w:b/>
          <w:bCs w:val="0"/>
          <w:kern w:val="2"/>
          <w:sz w:val="21"/>
        </w:rPr>
      </w:pPr>
      <w:r w:rsidRPr="00363DCE">
        <w:rPr>
          <w:rFonts w:asciiTheme="minorHAnsi" w:eastAsiaTheme="minorEastAsia" w:hAnsiTheme="minorHAnsi" w:cstheme="minorHAnsi"/>
          <w:b/>
          <w:bCs w:val="0"/>
          <w:kern w:val="2"/>
          <w:szCs w:val="20"/>
        </w:rPr>
        <w:fldChar w:fldCharType="begin"/>
      </w:r>
      <w:r w:rsidRPr="00363DCE">
        <w:rPr>
          <w:rFonts w:asciiTheme="minorHAnsi" w:eastAsiaTheme="minorEastAsia" w:hAnsiTheme="minorHAnsi" w:cstheme="minorHAnsi"/>
          <w:b/>
          <w:bCs w:val="0"/>
          <w:kern w:val="2"/>
          <w:szCs w:val="20"/>
        </w:rPr>
        <w:instrText xml:space="preserve"> TOC \n \t "ProposalStyle,1" </w:instrText>
      </w:r>
      <w:r w:rsidRPr="00363DCE">
        <w:rPr>
          <w:rFonts w:asciiTheme="minorHAnsi" w:eastAsiaTheme="minorEastAsia" w:hAnsiTheme="minorHAnsi" w:cstheme="minorHAnsi"/>
          <w:b/>
          <w:bCs w:val="0"/>
          <w:kern w:val="2"/>
          <w:szCs w:val="20"/>
        </w:rPr>
        <w:fldChar w:fldCharType="separate"/>
      </w:r>
      <w:r w:rsidR="00363DCE" w:rsidRPr="00363DCE">
        <w:rPr>
          <w:rFonts w:ascii="Calibri" w:hAnsi="Calibri"/>
          <w:b/>
          <w:bCs w:val="0"/>
        </w:rPr>
        <w:t>Proposal1.</w:t>
      </w:r>
      <w:r w:rsidR="00363DCE" w:rsidRPr="00363DCE">
        <w:rPr>
          <w:rFonts w:asciiTheme="minorHAnsi" w:eastAsiaTheme="minorEastAsia" w:hAnsiTheme="minorHAnsi" w:cstheme="minorBidi"/>
          <w:b/>
          <w:bCs w:val="0"/>
          <w:kern w:val="2"/>
          <w:sz w:val="21"/>
        </w:rPr>
        <w:tab/>
      </w:r>
      <w:r w:rsidR="00363DCE" w:rsidRPr="00363DCE">
        <w:rPr>
          <w:b/>
          <w:bCs w:val="0"/>
        </w:rPr>
        <w:t>No need to correlate NR SHR and LTE RLF report for either source gNB or target eNB.</w:t>
      </w:r>
    </w:p>
    <w:p w14:paraId="1DD8C7AE" w14:textId="77777777" w:rsidR="00363DCE" w:rsidRPr="00363DCE" w:rsidRDefault="00363DCE">
      <w:pPr>
        <w:pStyle w:val="TOC1"/>
        <w:tabs>
          <w:tab w:val="left" w:pos="1260"/>
          <w:tab w:val="right" w:leader="dot" w:pos="9962"/>
        </w:tabs>
        <w:rPr>
          <w:rFonts w:asciiTheme="minorHAnsi" w:eastAsiaTheme="minorEastAsia" w:hAnsiTheme="minorHAnsi" w:cstheme="minorBidi"/>
          <w:b/>
          <w:bCs w:val="0"/>
          <w:kern w:val="2"/>
          <w:sz w:val="21"/>
        </w:rPr>
      </w:pPr>
      <w:r w:rsidRPr="00363DCE">
        <w:rPr>
          <w:rFonts w:ascii="Calibri" w:hAnsi="Calibri"/>
          <w:b/>
          <w:bCs w:val="0"/>
        </w:rPr>
        <w:t>Proposal2.</w:t>
      </w:r>
      <w:r w:rsidRPr="00363DCE">
        <w:rPr>
          <w:rFonts w:asciiTheme="minorHAnsi" w:eastAsiaTheme="minorEastAsia" w:hAnsiTheme="minorHAnsi" w:cstheme="minorBidi"/>
          <w:b/>
          <w:bCs w:val="0"/>
          <w:kern w:val="2"/>
          <w:sz w:val="21"/>
        </w:rPr>
        <w:tab/>
      </w:r>
      <w:r w:rsidRPr="00363DCE">
        <w:rPr>
          <w:b/>
          <w:bCs w:val="0"/>
        </w:rPr>
        <w:t>RAN3 shall confirm the below WA: The triggers for SPR should be represented in terms of percentage values (similar to SHR).</w:t>
      </w:r>
    </w:p>
    <w:p w14:paraId="1DA5C99D" w14:textId="207113B6" w:rsidR="003925AA" w:rsidRPr="00CA311A" w:rsidRDefault="00783749" w:rsidP="00783749">
      <w:pPr>
        <w:pStyle w:val="Eyecatcher"/>
        <w:ind w:left="0" w:firstLine="0"/>
        <w:jc w:val="both"/>
        <w:rPr>
          <w:rFonts w:asciiTheme="minorHAnsi" w:eastAsiaTheme="minorEastAsia" w:hAnsiTheme="minorHAnsi" w:cstheme="minorHAnsi"/>
          <w:b w:val="0"/>
          <w:kern w:val="2"/>
          <w:sz w:val="21"/>
          <w:lang w:eastAsia="zh-CN"/>
        </w:rPr>
      </w:pPr>
      <w:r w:rsidRPr="00363DCE">
        <w:rPr>
          <w:rFonts w:asciiTheme="minorHAnsi" w:eastAsiaTheme="minorEastAsia" w:hAnsiTheme="minorHAnsi" w:cstheme="minorHAnsi"/>
          <w:kern w:val="2"/>
          <w:lang w:eastAsia="zh-CN"/>
        </w:rPr>
        <w:fldChar w:fldCharType="end"/>
      </w:r>
    </w:p>
    <w:p w14:paraId="100E7817" w14:textId="77777777" w:rsidR="00501135" w:rsidRPr="004C20EC" w:rsidRDefault="00501135" w:rsidP="001601A9">
      <w:pPr>
        <w:pStyle w:val="1"/>
        <w:rPr>
          <w:rFonts w:asciiTheme="minorHAnsi" w:hAnsiTheme="minorHAnsi" w:cstheme="minorHAnsi"/>
          <w:lang w:eastAsia="ja-JP"/>
        </w:rPr>
      </w:pPr>
      <w:bookmarkStart w:id="36" w:name="_Toc527283433"/>
      <w:bookmarkStart w:id="37" w:name="_Toc527283650"/>
      <w:bookmarkStart w:id="38" w:name="_Toc527283679"/>
      <w:bookmarkStart w:id="39" w:name="_Toc527283743"/>
      <w:bookmarkStart w:id="40" w:name="_Toc527283747"/>
      <w:bookmarkStart w:id="41" w:name="_Toc527283909"/>
      <w:bookmarkStart w:id="42" w:name="_Toc527283926"/>
      <w:bookmarkStart w:id="43" w:name="_Toc126137456"/>
      <w:bookmarkStart w:id="44" w:name="_Toc126137561"/>
      <w:r w:rsidRPr="004C20EC">
        <w:rPr>
          <w:rFonts w:asciiTheme="minorHAnsi" w:hAnsiTheme="minorHAnsi" w:cstheme="minorHAnsi"/>
        </w:rPr>
        <w:t>4</w:t>
      </w:r>
      <w:r w:rsidRPr="004C20EC">
        <w:rPr>
          <w:rFonts w:asciiTheme="minorHAnsi" w:hAnsiTheme="minorHAnsi" w:cstheme="minorHAnsi"/>
        </w:rPr>
        <w:tab/>
        <w:t>References</w:t>
      </w:r>
      <w:bookmarkEnd w:id="36"/>
      <w:bookmarkEnd w:id="37"/>
      <w:bookmarkEnd w:id="38"/>
      <w:bookmarkEnd w:id="39"/>
      <w:bookmarkEnd w:id="40"/>
      <w:bookmarkEnd w:id="41"/>
      <w:bookmarkEnd w:id="42"/>
      <w:bookmarkEnd w:id="43"/>
      <w:bookmarkEnd w:id="44"/>
    </w:p>
    <w:bookmarkEnd w:id="28"/>
    <w:p w14:paraId="1621B1C5" w14:textId="33033A37" w:rsidR="00CD7395" w:rsidRPr="004C20EC" w:rsidRDefault="00CD7395" w:rsidP="00EF403A">
      <w:pPr>
        <w:pStyle w:val="Reference"/>
        <w:rPr>
          <w:rFonts w:asciiTheme="minorHAnsi" w:eastAsia="宋体" w:hAnsiTheme="minorHAnsi" w:cstheme="minorHAnsi"/>
          <w:lang w:eastAsia="zh-CN"/>
        </w:rPr>
      </w:pPr>
    </w:p>
    <w:sectPr w:rsidR="00CD7395" w:rsidRPr="004C20EC"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C9D98" w14:textId="77777777" w:rsidR="000132BE" w:rsidRDefault="000132BE">
      <w:r>
        <w:separator/>
      </w:r>
    </w:p>
  </w:endnote>
  <w:endnote w:type="continuationSeparator" w:id="0">
    <w:p w14:paraId="72A776C1" w14:textId="77777777" w:rsidR="000132BE" w:rsidRDefault="000132BE">
      <w:r>
        <w:continuationSeparator/>
      </w:r>
    </w:p>
  </w:endnote>
  <w:endnote w:type="continuationNotice" w:id="1">
    <w:p w14:paraId="64EF6BFF" w14:textId="77777777" w:rsidR="000132BE" w:rsidRDefault="00013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07159B" w:rsidRDefault="0007159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07159B" w:rsidRDefault="0007159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16C6763B" w:rsidR="0007159B" w:rsidRDefault="0007159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34C05">
      <w:rPr>
        <w:rStyle w:val="a7"/>
        <w:noProof/>
      </w:rPr>
      <w:t>3</w:t>
    </w:r>
    <w:r>
      <w:rPr>
        <w:rStyle w:val="a7"/>
      </w:rPr>
      <w:fldChar w:fldCharType="end"/>
    </w:r>
  </w:p>
  <w:p w14:paraId="1A7FF71A" w14:textId="77777777" w:rsidR="0007159B" w:rsidRDefault="0007159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D384" w14:textId="77777777" w:rsidR="000132BE" w:rsidRDefault="000132BE">
      <w:r>
        <w:separator/>
      </w:r>
    </w:p>
  </w:footnote>
  <w:footnote w:type="continuationSeparator" w:id="0">
    <w:p w14:paraId="5E915E3B" w14:textId="77777777" w:rsidR="000132BE" w:rsidRDefault="000132BE">
      <w:r>
        <w:continuationSeparator/>
      </w:r>
    </w:p>
  </w:footnote>
  <w:footnote w:type="continuationNotice" w:id="1">
    <w:p w14:paraId="614E2D00" w14:textId="77777777" w:rsidR="000132BE" w:rsidRDefault="000132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295247"/>
    <w:multiLevelType w:val="hybridMultilevel"/>
    <w:tmpl w:val="BF8A820A"/>
    <w:lvl w:ilvl="0" w:tplc="40928EF6">
      <w:start w:val="1"/>
      <w:numFmt w:val="decimal"/>
      <w:pStyle w:val="ProposalStyle"/>
      <w:lvlText w:val="Proposal%1."/>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7F3DBD"/>
    <w:multiLevelType w:val="hybridMultilevel"/>
    <w:tmpl w:val="C1EABAA2"/>
    <w:lvl w:ilvl="0" w:tplc="559EEADC">
      <w:start w:val="1"/>
      <w:numFmt w:val="decimal"/>
      <w:pStyle w:val="ObservationStyle"/>
      <w:lvlText w:val="Observation %1."/>
      <w:lvlJc w:val="left"/>
      <w:pPr>
        <w:ind w:left="1697" w:hanging="420"/>
      </w:pPr>
      <w:rPr>
        <w:rFonts w:hint="eastAsia"/>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4B4776"/>
    <w:multiLevelType w:val="hybridMultilevel"/>
    <w:tmpl w:val="0EF29520"/>
    <w:lvl w:ilvl="0" w:tplc="BE426758">
      <w:start w:val="2"/>
      <w:numFmt w:val="bullet"/>
      <w:lvlText w:val="-"/>
      <w:lvlJc w:val="left"/>
      <w:pPr>
        <w:ind w:left="360" w:hanging="360"/>
      </w:pPr>
      <w:rPr>
        <w:rFonts w:ascii="Calibri" w:eastAsia="Times New Roman" w:hAnsi="Calibri"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EA26A7"/>
    <w:multiLevelType w:val="hybridMultilevel"/>
    <w:tmpl w:val="35380DCA"/>
    <w:lvl w:ilvl="0" w:tplc="3834827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F6168E"/>
    <w:multiLevelType w:val="multilevel"/>
    <w:tmpl w:val="54F616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CE2687"/>
    <w:multiLevelType w:val="hybridMultilevel"/>
    <w:tmpl w:val="6598DE3E"/>
    <w:lvl w:ilvl="0" w:tplc="AEEE8CCC">
      <w:start w:val="1"/>
      <w:numFmt w:val="decimal"/>
      <w:lvlText w:val="Observation%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0"/>
  </w:num>
  <w:num w:numId="13">
    <w:abstractNumId w:val="13"/>
  </w:num>
  <w:num w:numId="14">
    <w:abstractNumId w:val="19"/>
  </w:num>
  <w:num w:numId="15">
    <w:abstractNumId w:val="11"/>
  </w:num>
  <w:num w:numId="16">
    <w:abstractNumId w:val="23"/>
  </w:num>
  <w:num w:numId="17">
    <w:abstractNumId w:val="18"/>
  </w:num>
  <w:num w:numId="18">
    <w:abstractNumId w:val="14"/>
  </w:num>
  <w:num w:numId="19">
    <w:abstractNumId w:val="26"/>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5"/>
  </w:num>
  <w:num w:numId="23">
    <w:abstractNumId w:val="24"/>
  </w:num>
  <w:num w:numId="24">
    <w:abstractNumId w:val="17"/>
  </w:num>
  <w:num w:numId="25">
    <w:abstractNumId w:val="12"/>
  </w:num>
  <w:num w:numId="26">
    <w:abstractNumId w:val="22"/>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1906"/>
    <w:rsid w:val="00003162"/>
    <w:rsid w:val="00004A98"/>
    <w:rsid w:val="00005AAB"/>
    <w:rsid w:val="0001024C"/>
    <w:rsid w:val="00010D88"/>
    <w:rsid w:val="000132BE"/>
    <w:rsid w:val="00026DC1"/>
    <w:rsid w:val="000401B6"/>
    <w:rsid w:val="00046072"/>
    <w:rsid w:val="00051226"/>
    <w:rsid w:val="00051682"/>
    <w:rsid w:val="000640DF"/>
    <w:rsid w:val="000669A2"/>
    <w:rsid w:val="0007159B"/>
    <w:rsid w:val="000719E7"/>
    <w:rsid w:val="00072310"/>
    <w:rsid w:val="00097C8A"/>
    <w:rsid w:val="000A05B2"/>
    <w:rsid w:val="000A0A38"/>
    <w:rsid w:val="000B318F"/>
    <w:rsid w:val="000B427F"/>
    <w:rsid w:val="000B7EE5"/>
    <w:rsid w:val="000C2BFF"/>
    <w:rsid w:val="000C4AFD"/>
    <w:rsid w:val="000E4169"/>
    <w:rsid w:val="000E665B"/>
    <w:rsid w:val="000F02C3"/>
    <w:rsid w:val="00112493"/>
    <w:rsid w:val="00117327"/>
    <w:rsid w:val="00122EA7"/>
    <w:rsid w:val="00126984"/>
    <w:rsid w:val="0014050A"/>
    <w:rsid w:val="001601A9"/>
    <w:rsid w:val="00162A98"/>
    <w:rsid w:val="00195C35"/>
    <w:rsid w:val="001A1B48"/>
    <w:rsid w:val="001B1C2A"/>
    <w:rsid w:val="001D1142"/>
    <w:rsid w:val="001D1214"/>
    <w:rsid w:val="001D3360"/>
    <w:rsid w:val="00203C57"/>
    <w:rsid w:val="00203F86"/>
    <w:rsid w:val="002120CC"/>
    <w:rsid w:val="002174CA"/>
    <w:rsid w:val="002177A7"/>
    <w:rsid w:val="002300C6"/>
    <w:rsid w:val="00230764"/>
    <w:rsid w:val="002336F5"/>
    <w:rsid w:val="00237F7C"/>
    <w:rsid w:val="00243992"/>
    <w:rsid w:val="0024745D"/>
    <w:rsid w:val="00247F22"/>
    <w:rsid w:val="00273FAA"/>
    <w:rsid w:val="00284A5E"/>
    <w:rsid w:val="00294C24"/>
    <w:rsid w:val="002A6034"/>
    <w:rsid w:val="002A739F"/>
    <w:rsid w:val="002B0CFE"/>
    <w:rsid w:val="002C6A9C"/>
    <w:rsid w:val="002F0B69"/>
    <w:rsid w:val="002F1801"/>
    <w:rsid w:val="0030568B"/>
    <w:rsid w:val="00305FE0"/>
    <w:rsid w:val="003111BA"/>
    <w:rsid w:val="00312F43"/>
    <w:rsid w:val="003229C8"/>
    <w:rsid w:val="0032308F"/>
    <w:rsid w:val="003326B9"/>
    <w:rsid w:val="003514CE"/>
    <w:rsid w:val="00360F2F"/>
    <w:rsid w:val="00362FD6"/>
    <w:rsid w:val="00363DCE"/>
    <w:rsid w:val="003658DB"/>
    <w:rsid w:val="00365D6D"/>
    <w:rsid w:val="00382602"/>
    <w:rsid w:val="00383916"/>
    <w:rsid w:val="00383BAF"/>
    <w:rsid w:val="003925AA"/>
    <w:rsid w:val="003978BB"/>
    <w:rsid w:val="003A0811"/>
    <w:rsid w:val="003A72C5"/>
    <w:rsid w:val="003A7669"/>
    <w:rsid w:val="003B1332"/>
    <w:rsid w:val="003B602E"/>
    <w:rsid w:val="003D108B"/>
    <w:rsid w:val="003D15C1"/>
    <w:rsid w:val="003E5ED6"/>
    <w:rsid w:val="003F04CA"/>
    <w:rsid w:val="003F438B"/>
    <w:rsid w:val="003F49ED"/>
    <w:rsid w:val="00412C70"/>
    <w:rsid w:val="00431125"/>
    <w:rsid w:val="00431174"/>
    <w:rsid w:val="0043235F"/>
    <w:rsid w:val="00434400"/>
    <w:rsid w:val="00436463"/>
    <w:rsid w:val="00440215"/>
    <w:rsid w:val="00440EB3"/>
    <w:rsid w:val="00452C1C"/>
    <w:rsid w:val="00456756"/>
    <w:rsid w:val="00456836"/>
    <w:rsid w:val="00463A76"/>
    <w:rsid w:val="00464F3D"/>
    <w:rsid w:val="00474F20"/>
    <w:rsid w:val="00475E6D"/>
    <w:rsid w:val="00485079"/>
    <w:rsid w:val="00492282"/>
    <w:rsid w:val="0049743E"/>
    <w:rsid w:val="004A605A"/>
    <w:rsid w:val="004B5A65"/>
    <w:rsid w:val="004C20EC"/>
    <w:rsid w:val="004E3A07"/>
    <w:rsid w:val="004E3AF3"/>
    <w:rsid w:val="004F4425"/>
    <w:rsid w:val="00501135"/>
    <w:rsid w:val="00506D99"/>
    <w:rsid w:val="00507D9D"/>
    <w:rsid w:val="00511F82"/>
    <w:rsid w:val="00523AA3"/>
    <w:rsid w:val="00533A5B"/>
    <w:rsid w:val="00534C05"/>
    <w:rsid w:val="00543DB8"/>
    <w:rsid w:val="00545E00"/>
    <w:rsid w:val="005475C5"/>
    <w:rsid w:val="005718AB"/>
    <w:rsid w:val="00580121"/>
    <w:rsid w:val="00583D2B"/>
    <w:rsid w:val="005855D2"/>
    <w:rsid w:val="00595500"/>
    <w:rsid w:val="005974F9"/>
    <w:rsid w:val="005A1D2C"/>
    <w:rsid w:val="005A727D"/>
    <w:rsid w:val="005B14C0"/>
    <w:rsid w:val="005C1208"/>
    <w:rsid w:val="005C5893"/>
    <w:rsid w:val="005C6533"/>
    <w:rsid w:val="005D0EC8"/>
    <w:rsid w:val="005E193E"/>
    <w:rsid w:val="005E51D2"/>
    <w:rsid w:val="005E68AB"/>
    <w:rsid w:val="005F4585"/>
    <w:rsid w:val="00604237"/>
    <w:rsid w:val="0060423C"/>
    <w:rsid w:val="006103E2"/>
    <w:rsid w:val="00612679"/>
    <w:rsid w:val="00617344"/>
    <w:rsid w:val="00620E77"/>
    <w:rsid w:val="00621D84"/>
    <w:rsid w:val="006264D8"/>
    <w:rsid w:val="00631729"/>
    <w:rsid w:val="00631954"/>
    <w:rsid w:val="00633B30"/>
    <w:rsid w:val="00636165"/>
    <w:rsid w:val="006367F1"/>
    <w:rsid w:val="0064585D"/>
    <w:rsid w:val="00665891"/>
    <w:rsid w:val="006672CD"/>
    <w:rsid w:val="00671A7F"/>
    <w:rsid w:val="00692186"/>
    <w:rsid w:val="00697DD0"/>
    <w:rsid w:val="006A4516"/>
    <w:rsid w:val="006A461D"/>
    <w:rsid w:val="006A4FF6"/>
    <w:rsid w:val="006A693D"/>
    <w:rsid w:val="006C0235"/>
    <w:rsid w:val="006C70E8"/>
    <w:rsid w:val="006C7ADE"/>
    <w:rsid w:val="007159BF"/>
    <w:rsid w:val="0073451F"/>
    <w:rsid w:val="007433DE"/>
    <w:rsid w:val="007466BD"/>
    <w:rsid w:val="0077331B"/>
    <w:rsid w:val="00774222"/>
    <w:rsid w:val="00780301"/>
    <w:rsid w:val="0078034B"/>
    <w:rsid w:val="007828DC"/>
    <w:rsid w:val="00783749"/>
    <w:rsid w:val="00786414"/>
    <w:rsid w:val="0079087F"/>
    <w:rsid w:val="00791307"/>
    <w:rsid w:val="0079764C"/>
    <w:rsid w:val="007A1EB3"/>
    <w:rsid w:val="007B42A3"/>
    <w:rsid w:val="007C5F8D"/>
    <w:rsid w:val="007C6B7A"/>
    <w:rsid w:val="007D02E1"/>
    <w:rsid w:val="007D41E9"/>
    <w:rsid w:val="007D451C"/>
    <w:rsid w:val="007D7FD9"/>
    <w:rsid w:val="007F3E85"/>
    <w:rsid w:val="007F669C"/>
    <w:rsid w:val="00805AD4"/>
    <w:rsid w:val="00843AF7"/>
    <w:rsid w:val="00853BBD"/>
    <w:rsid w:val="008609AD"/>
    <w:rsid w:val="0086759F"/>
    <w:rsid w:val="008700A3"/>
    <w:rsid w:val="00871B68"/>
    <w:rsid w:val="00873094"/>
    <w:rsid w:val="008775B7"/>
    <w:rsid w:val="008925B8"/>
    <w:rsid w:val="008953C3"/>
    <w:rsid w:val="008A4C1D"/>
    <w:rsid w:val="008A511A"/>
    <w:rsid w:val="008A647F"/>
    <w:rsid w:val="008B0AF2"/>
    <w:rsid w:val="008B0C05"/>
    <w:rsid w:val="008B4F57"/>
    <w:rsid w:val="008C2F4B"/>
    <w:rsid w:val="008C7A1B"/>
    <w:rsid w:val="008E19D0"/>
    <w:rsid w:val="008E48CD"/>
    <w:rsid w:val="008F1B11"/>
    <w:rsid w:val="00906401"/>
    <w:rsid w:val="00907CF1"/>
    <w:rsid w:val="00937DD6"/>
    <w:rsid w:val="00953877"/>
    <w:rsid w:val="00954330"/>
    <w:rsid w:val="00954912"/>
    <w:rsid w:val="00964DB6"/>
    <w:rsid w:val="00965584"/>
    <w:rsid w:val="00967136"/>
    <w:rsid w:val="009813D8"/>
    <w:rsid w:val="009872F4"/>
    <w:rsid w:val="009928CD"/>
    <w:rsid w:val="00994162"/>
    <w:rsid w:val="009A6292"/>
    <w:rsid w:val="009B012E"/>
    <w:rsid w:val="009B0AF3"/>
    <w:rsid w:val="009B0B0E"/>
    <w:rsid w:val="009E394B"/>
    <w:rsid w:val="009E7DFF"/>
    <w:rsid w:val="009F59A2"/>
    <w:rsid w:val="009F6EC1"/>
    <w:rsid w:val="00A009DA"/>
    <w:rsid w:val="00A1281F"/>
    <w:rsid w:val="00A129B6"/>
    <w:rsid w:val="00A17E34"/>
    <w:rsid w:val="00A336B8"/>
    <w:rsid w:val="00A44420"/>
    <w:rsid w:val="00A54A9E"/>
    <w:rsid w:val="00A564F4"/>
    <w:rsid w:val="00A57FBC"/>
    <w:rsid w:val="00A61C80"/>
    <w:rsid w:val="00A71A00"/>
    <w:rsid w:val="00A72A5B"/>
    <w:rsid w:val="00A8073C"/>
    <w:rsid w:val="00A86FBA"/>
    <w:rsid w:val="00A97481"/>
    <w:rsid w:val="00AA0ED3"/>
    <w:rsid w:val="00AA22F9"/>
    <w:rsid w:val="00AA3AC6"/>
    <w:rsid w:val="00AA6C9A"/>
    <w:rsid w:val="00AB4E41"/>
    <w:rsid w:val="00AC06CA"/>
    <w:rsid w:val="00AE2347"/>
    <w:rsid w:val="00AE45A9"/>
    <w:rsid w:val="00AE77DE"/>
    <w:rsid w:val="00AF1555"/>
    <w:rsid w:val="00AF1A71"/>
    <w:rsid w:val="00AF50D6"/>
    <w:rsid w:val="00AF780A"/>
    <w:rsid w:val="00B06C16"/>
    <w:rsid w:val="00B102D8"/>
    <w:rsid w:val="00B117E3"/>
    <w:rsid w:val="00B13580"/>
    <w:rsid w:val="00B15DB4"/>
    <w:rsid w:val="00B231F4"/>
    <w:rsid w:val="00B329D3"/>
    <w:rsid w:val="00B532EB"/>
    <w:rsid w:val="00B54A37"/>
    <w:rsid w:val="00B7329F"/>
    <w:rsid w:val="00B85C0E"/>
    <w:rsid w:val="00B868C5"/>
    <w:rsid w:val="00BA0C6E"/>
    <w:rsid w:val="00BA33CE"/>
    <w:rsid w:val="00BB35EA"/>
    <w:rsid w:val="00BB430F"/>
    <w:rsid w:val="00BB5F06"/>
    <w:rsid w:val="00BB7AD2"/>
    <w:rsid w:val="00BD509A"/>
    <w:rsid w:val="00BD588D"/>
    <w:rsid w:val="00BE2078"/>
    <w:rsid w:val="00BE4262"/>
    <w:rsid w:val="00BF2E54"/>
    <w:rsid w:val="00BF626B"/>
    <w:rsid w:val="00C04DB5"/>
    <w:rsid w:val="00C06704"/>
    <w:rsid w:val="00C17C56"/>
    <w:rsid w:val="00C2066C"/>
    <w:rsid w:val="00C33DA7"/>
    <w:rsid w:val="00C5112B"/>
    <w:rsid w:val="00C61AA7"/>
    <w:rsid w:val="00C6427D"/>
    <w:rsid w:val="00C70DF4"/>
    <w:rsid w:val="00C778A5"/>
    <w:rsid w:val="00C86FFE"/>
    <w:rsid w:val="00CA311A"/>
    <w:rsid w:val="00CB5951"/>
    <w:rsid w:val="00CC1F81"/>
    <w:rsid w:val="00CC2CAE"/>
    <w:rsid w:val="00CC4A38"/>
    <w:rsid w:val="00CD0FFD"/>
    <w:rsid w:val="00CD6923"/>
    <w:rsid w:val="00CD7395"/>
    <w:rsid w:val="00CE153C"/>
    <w:rsid w:val="00CE3F90"/>
    <w:rsid w:val="00CE6E79"/>
    <w:rsid w:val="00CF0789"/>
    <w:rsid w:val="00D0317F"/>
    <w:rsid w:val="00D115B3"/>
    <w:rsid w:val="00D11D2D"/>
    <w:rsid w:val="00D25476"/>
    <w:rsid w:val="00D265F4"/>
    <w:rsid w:val="00D345C5"/>
    <w:rsid w:val="00D371F0"/>
    <w:rsid w:val="00D37FA6"/>
    <w:rsid w:val="00D40511"/>
    <w:rsid w:val="00D53C0D"/>
    <w:rsid w:val="00D6753B"/>
    <w:rsid w:val="00D67DC3"/>
    <w:rsid w:val="00D7590A"/>
    <w:rsid w:val="00D75F06"/>
    <w:rsid w:val="00D80F19"/>
    <w:rsid w:val="00D8543C"/>
    <w:rsid w:val="00D91A1D"/>
    <w:rsid w:val="00D9600A"/>
    <w:rsid w:val="00D971BA"/>
    <w:rsid w:val="00DA191E"/>
    <w:rsid w:val="00DB5364"/>
    <w:rsid w:val="00DB797B"/>
    <w:rsid w:val="00DC3BE7"/>
    <w:rsid w:val="00DC53D2"/>
    <w:rsid w:val="00DD35C8"/>
    <w:rsid w:val="00E042C0"/>
    <w:rsid w:val="00E04E05"/>
    <w:rsid w:val="00E11BAC"/>
    <w:rsid w:val="00E26242"/>
    <w:rsid w:val="00E26F74"/>
    <w:rsid w:val="00E27896"/>
    <w:rsid w:val="00E329B4"/>
    <w:rsid w:val="00E37F82"/>
    <w:rsid w:val="00E40689"/>
    <w:rsid w:val="00E5568E"/>
    <w:rsid w:val="00E712C8"/>
    <w:rsid w:val="00E71F43"/>
    <w:rsid w:val="00E7633F"/>
    <w:rsid w:val="00E774D6"/>
    <w:rsid w:val="00E774EB"/>
    <w:rsid w:val="00E8005C"/>
    <w:rsid w:val="00E82683"/>
    <w:rsid w:val="00E826A0"/>
    <w:rsid w:val="00EA4D6D"/>
    <w:rsid w:val="00EA51AA"/>
    <w:rsid w:val="00EB30BC"/>
    <w:rsid w:val="00EB7A94"/>
    <w:rsid w:val="00EB7D73"/>
    <w:rsid w:val="00EC0D9B"/>
    <w:rsid w:val="00EC33F2"/>
    <w:rsid w:val="00ED2E7D"/>
    <w:rsid w:val="00ED3F88"/>
    <w:rsid w:val="00ED65FE"/>
    <w:rsid w:val="00EE2847"/>
    <w:rsid w:val="00EE5227"/>
    <w:rsid w:val="00EF0D35"/>
    <w:rsid w:val="00EF1C71"/>
    <w:rsid w:val="00EF291A"/>
    <w:rsid w:val="00EF403A"/>
    <w:rsid w:val="00F05363"/>
    <w:rsid w:val="00F120DD"/>
    <w:rsid w:val="00F14B26"/>
    <w:rsid w:val="00F150E5"/>
    <w:rsid w:val="00F26A79"/>
    <w:rsid w:val="00F31F35"/>
    <w:rsid w:val="00F5274F"/>
    <w:rsid w:val="00F61067"/>
    <w:rsid w:val="00F6139A"/>
    <w:rsid w:val="00F6616C"/>
    <w:rsid w:val="00F812EA"/>
    <w:rsid w:val="00FC2EBA"/>
    <w:rsid w:val="00FC5768"/>
    <w:rsid w:val="00FD7FCD"/>
    <w:rsid w:val="00FE5FA3"/>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F120DD"/>
    <w:pPr>
      <w:keepNext/>
      <w:keepLines/>
      <w:widowControl w:val="0"/>
      <w:spacing w:before="120"/>
    </w:pPr>
    <w:rPr>
      <w:rFonts w:ascii="Arial" w:eastAsia="Times New Roman" w:hAnsi="Arial"/>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页眉 字符"/>
    <w:aliases w:val="header odd 字符"/>
    <w:link w:val="a3"/>
    <w:rsid w:val="008B0AF2"/>
    <w:rPr>
      <w:rFonts w:ascii="Arial" w:eastAsia="MS Mincho" w:hAnsi="Arial"/>
      <w:b/>
      <w:noProof/>
      <w:sz w:val="18"/>
      <w:lang w:val="en-US" w:eastAsia="en-US"/>
    </w:rPr>
  </w:style>
  <w:style w:type="paragraph" w:customStyle="1" w:styleId="Conclusion">
    <w:name w:val="Conclusion"/>
    <w:basedOn w:val="a"/>
    <w:rsid w:val="00383916"/>
    <w:pPr>
      <w:ind w:left="1701" w:hanging="1701"/>
    </w:pPr>
    <w:rPr>
      <w:b/>
    </w:rPr>
  </w:style>
  <w:style w:type="paragraph" w:styleId="TOC">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标题 9 字符"/>
    <w:link w:val="9"/>
    <w:semiHidden/>
    <w:rsid w:val="00A129B6"/>
    <w:rPr>
      <w:rFonts w:ascii="Calibri Light" w:eastAsia="Times New Roman" w:hAnsi="Calibri Light" w:cs="Times New Roman"/>
      <w:sz w:val="22"/>
      <w:szCs w:val="22"/>
      <w:lang w:val="en-GB"/>
    </w:rPr>
  </w:style>
  <w:style w:type="character" w:customStyle="1" w:styleId="80">
    <w:name w:val="标题 8 字符"/>
    <w:link w:val="8"/>
    <w:semiHidden/>
    <w:rsid w:val="00A129B6"/>
    <w:rPr>
      <w:rFonts w:ascii="Calibri" w:eastAsia="Times New Roman" w:hAnsi="Calibri" w:cs="Times New Roman"/>
      <w:i/>
      <w:iCs/>
      <w:sz w:val="24"/>
      <w:szCs w:val="24"/>
      <w:lang w:val="en-GB"/>
    </w:rPr>
  </w:style>
  <w:style w:type="character" w:customStyle="1" w:styleId="70">
    <w:name w:val="标题 7 字符"/>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paragraph" w:styleId="ab">
    <w:name w:val="Normal (Web)"/>
    <w:basedOn w:val="a"/>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ac">
    <w:name w:val="Emphasis"/>
    <w:basedOn w:val="a0"/>
    <w:uiPriority w:val="20"/>
    <w:qFormat/>
    <w:rsid w:val="009B0AF3"/>
    <w:rPr>
      <w:i/>
      <w:iCs/>
    </w:rPr>
  </w:style>
  <w:style w:type="character" w:styleId="ad">
    <w:name w:val="annotation reference"/>
    <w:basedOn w:val="a0"/>
    <w:rsid w:val="00965584"/>
    <w:rPr>
      <w:sz w:val="16"/>
      <w:szCs w:val="16"/>
    </w:rPr>
  </w:style>
  <w:style w:type="paragraph" w:styleId="ae">
    <w:name w:val="annotation text"/>
    <w:basedOn w:val="a"/>
    <w:link w:val="af"/>
    <w:rsid w:val="00965584"/>
  </w:style>
  <w:style w:type="character" w:customStyle="1" w:styleId="af">
    <w:name w:val="批注文字 字符"/>
    <w:basedOn w:val="a0"/>
    <w:link w:val="ae"/>
    <w:rsid w:val="00965584"/>
    <w:rPr>
      <w:rFonts w:ascii="Arial" w:eastAsia="MS Mincho" w:hAnsi="Arial"/>
      <w:lang w:eastAsia="en-US"/>
    </w:rPr>
  </w:style>
  <w:style w:type="paragraph" w:styleId="af0">
    <w:name w:val="annotation subject"/>
    <w:basedOn w:val="ae"/>
    <w:next w:val="ae"/>
    <w:link w:val="af1"/>
    <w:rsid w:val="00965584"/>
    <w:rPr>
      <w:b/>
      <w:bCs/>
    </w:rPr>
  </w:style>
  <w:style w:type="character" w:customStyle="1" w:styleId="af1">
    <w:name w:val="批注主题 字符"/>
    <w:basedOn w:val="af"/>
    <w:link w:val="af0"/>
    <w:rsid w:val="00965584"/>
    <w:rPr>
      <w:rFonts w:ascii="Arial" w:eastAsia="MS Mincho" w:hAnsi="Arial"/>
      <w:b/>
      <w:bCs/>
      <w:lang w:eastAsia="en-US"/>
    </w:rPr>
  </w:style>
  <w:style w:type="paragraph" w:styleId="af2">
    <w:name w:val="List Paragraph"/>
    <w:basedOn w:val="a"/>
    <w:link w:val="af3"/>
    <w:uiPriority w:val="34"/>
    <w:qFormat/>
    <w:rsid w:val="00F120DD"/>
    <w:pPr>
      <w:ind w:firstLineChars="200" w:firstLine="420"/>
    </w:pPr>
  </w:style>
  <w:style w:type="paragraph" w:customStyle="1" w:styleId="ProposalStyle">
    <w:name w:val="ProposalStyle"/>
    <w:basedOn w:val="af2"/>
    <w:link w:val="ProposalStyle0"/>
    <w:qFormat/>
    <w:rsid w:val="00786414"/>
    <w:pPr>
      <w:numPr>
        <w:numId w:val="15"/>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TOC1"/>
    <w:link w:val="ObservationStyle0"/>
    <w:qFormat/>
    <w:rsid w:val="00786414"/>
    <w:pPr>
      <w:numPr>
        <w:numId w:val="18"/>
      </w:numPr>
      <w:ind w:left="1276" w:rightChars="-46" w:right="-92" w:hanging="1276"/>
    </w:pPr>
    <w:rPr>
      <w:rFonts w:ascii="Calibri" w:eastAsiaTheme="minorEastAsia" w:hAnsi="Calibri"/>
      <w:b/>
    </w:rPr>
  </w:style>
  <w:style w:type="character" w:customStyle="1" w:styleId="af3">
    <w:name w:val="列表段落 字符"/>
    <w:basedOn w:val="a0"/>
    <w:link w:val="af2"/>
    <w:uiPriority w:val="34"/>
    <w:qFormat/>
    <w:rsid w:val="00F120DD"/>
    <w:rPr>
      <w:rFonts w:ascii="Arial" w:eastAsia="MS Mincho" w:hAnsi="Arial"/>
      <w:lang w:eastAsia="en-US"/>
    </w:rPr>
  </w:style>
  <w:style w:type="character" w:customStyle="1" w:styleId="ProposalStyle0">
    <w:name w:val="ProposalStyle 字符"/>
    <w:basedOn w:val="af3"/>
    <w:link w:val="ProposalStyle"/>
    <w:rsid w:val="00786414"/>
    <w:rPr>
      <w:rFonts w:asciiTheme="minorHAnsi" w:eastAsia="MS Mincho" w:hAnsiTheme="minorHAnsi" w:cstheme="minorHAnsi"/>
      <w:b/>
      <w:lang w:eastAsia="zh-CN"/>
    </w:rPr>
  </w:style>
  <w:style w:type="table" w:styleId="af4">
    <w:name w:val="Table Grid"/>
    <w:basedOn w:val="a1"/>
    <w:qFormat/>
    <w:rsid w:val="007D0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tyle0">
    <w:name w:val="ObservationStyle 字符"/>
    <w:basedOn w:val="af3"/>
    <w:link w:val="ObservationStyle"/>
    <w:rsid w:val="00786414"/>
    <w:rPr>
      <w:rFonts w:ascii="Calibri" w:eastAsia="MS Mincho" w:hAnsi="Calibri"/>
      <w:b/>
      <w:bCs/>
      <w:noProof/>
      <w:szCs w:val="22"/>
      <w:lang w:val="en-US" w:eastAsia="zh-CN"/>
    </w:rPr>
  </w:style>
  <w:style w:type="paragraph" w:customStyle="1" w:styleId="10">
    <w:name w:val="列出段落1"/>
    <w:basedOn w:val="a"/>
    <w:rsid w:val="007F3E85"/>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21">
    <w:name w:val="列出段落2"/>
    <w:basedOn w:val="a"/>
    <w:rsid w:val="00B54A37"/>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31">
    <w:name w:val="列出段落3"/>
    <w:basedOn w:val="a"/>
    <w:rsid w:val="002B0CFE"/>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40">
    <w:name w:val="列出段落4"/>
    <w:basedOn w:val="a"/>
    <w:rsid w:val="005C5893"/>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3">
    <w:name w:val="List Paragraph3"/>
    <w:basedOn w:val="a"/>
    <w:rsid w:val="00382602"/>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19719">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751702716">
      <w:bodyDiv w:val="1"/>
      <w:marLeft w:val="0"/>
      <w:marRight w:val="0"/>
      <w:marTop w:val="0"/>
      <w:marBottom w:val="0"/>
      <w:divBdr>
        <w:top w:val="none" w:sz="0" w:space="0" w:color="auto"/>
        <w:left w:val="none" w:sz="0" w:space="0" w:color="auto"/>
        <w:bottom w:val="none" w:sz="0" w:space="0" w:color="auto"/>
        <w:right w:val="none" w:sz="0" w:space="0" w:color="auto"/>
      </w:divBdr>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 w:id="832186012">
      <w:bodyDiv w:val="1"/>
      <w:marLeft w:val="0"/>
      <w:marRight w:val="0"/>
      <w:marTop w:val="0"/>
      <w:marBottom w:val="0"/>
      <w:divBdr>
        <w:top w:val="none" w:sz="0" w:space="0" w:color="auto"/>
        <w:left w:val="none" w:sz="0" w:space="0" w:color="auto"/>
        <w:bottom w:val="none" w:sz="0" w:space="0" w:color="auto"/>
        <w:right w:val="none" w:sz="0" w:space="0" w:color="auto"/>
      </w:divBdr>
    </w:div>
    <w:div w:id="943877206">
      <w:bodyDiv w:val="1"/>
      <w:marLeft w:val="0"/>
      <w:marRight w:val="0"/>
      <w:marTop w:val="0"/>
      <w:marBottom w:val="0"/>
      <w:divBdr>
        <w:top w:val="none" w:sz="0" w:space="0" w:color="auto"/>
        <w:left w:val="none" w:sz="0" w:space="0" w:color="auto"/>
        <w:bottom w:val="none" w:sz="0" w:space="0" w:color="auto"/>
        <w:right w:val="none" w:sz="0" w:space="0" w:color="auto"/>
      </w:divBdr>
    </w:div>
    <w:div w:id="1586911393">
      <w:bodyDiv w:val="1"/>
      <w:marLeft w:val="0"/>
      <w:marRight w:val="0"/>
      <w:marTop w:val="0"/>
      <w:marBottom w:val="0"/>
      <w:divBdr>
        <w:top w:val="none" w:sz="0" w:space="0" w:color="auto"/>
        <w:left w:val="none" w:sz="0" w:space="0" w:color="auto"/>
        <w:bottom w:val="none" w:sz="0" w:space="0" w:color="auto"/>
        <w:right w:val="none" w:sz="0" w:space="0" w:color="auto"/>
      </w:divBdr>
    </w:div>
    <w:div w:id="1644920409">
      <w:bodyDiv w:val="1"/>
      <w:marLeft w:val="0"/>
      <w:marRight w:val="0"/>
      <w:marTop w:val="0"/>
      <w:marBottom w:val="0"/>
      <w:divBdr>
        <w:top w:val="none" w:sz="0" w:space="0" w:color="auto"/>
        <w:left w:val="none" w:sz="0" w:space="0" w:color="auto"/>
        <w:bottom w:val="none" w:sz="0" w:space="0" w:color="auto"/>
        <w:right w:val="none" w:sz="0" w:space="0" w:color="auto"/>
      </w:divBdr>
    </w:div>
    <w:div w:id="207893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8BF8D2-6F0B-4603-9998-35BBA5E4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171BBAB-EC94-4578-9B77-EE55921B25CD}">
  <ds:schemaRefs>
    <ds:schemaRef ds:uri="http://schemas.openxmlformats.org/officeDocument/2006/bibliography"/>
  </ds:schemaRefs>
</ds:datastoreItem>
</file>

<file path=customXml/itemProps3.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4.xml><?xml version="1.0" encoding="utf-8"?>
<ds:datastoreItem xmlns:ds="http://schemas.openxmlformats.org/officeDocument/2006/customXml" ds:itemID="{2BB559FE-B7D6-497E-AB13-516D03A4E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1444</Words>
  <Characters>8234</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NEC</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subject/>
  <dc:creator>NEC(Boyuan)</dc:creator>
  <cp:keywords/>
  <cp:lastModifiedBy>NEC(Boyuan)</cp:lastModifiedBy>
  <cp:revision>2</cp:revision>
  <dcterms:created xsi:type="dcterms:W3CDTF">2023-05-11T23:22:00Z</dcterms:created>
  <dcterms:modified xsi:type="dcterms:W3CDTF">2023-05-11T23:22:00Z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ediaServiceImageTags">
    <vt:lpwstr/>
  </property>
</Properties>
</file>